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D8B" w:rsidRPr="0019300A" w:rsidRDefault="009B6D8B" w:rsidP="009B6D8B">
      <w:pPr>
        <w:ind w:left="2268" w:right="1700"/>
        <w:jc w:val="both"/>
        <w:rPr>
          <w:rFonts w:ascii="Tahoma" w:hAnsi="Tahoma" w:cs="Tahoma"/>
          <w:i/>
          <w:sz w:val="20"/>
          <w:szCs w:val="20"/>
        </w:rPr>
      </w:pPr>
      <w:r w:rsidRPr="0019300A">
        <w:rPr>
          <w:rFonts w:ascii="Tahoma" w:hAnsi="Tahoma" w:cs="Tahoma"/>
          <w:b/>
          <w:i/>
          <w:sz w:val="20"/>
          <w:szCs w:val="20"/>
        </w:rPr>
        <w:t>Sumilla   :</w:t>
      </w:r>
      <w:r w:rsidRPr="0019300A">
        <w:rPr>
          <w:rFonts w:ascii="Tahoma" w:hAnsi="Tahoma" w:cs="Tahoma"/>
          <w:i/>
          <w:sz w:val="20"/>
          <w:szCs w:val="20"/>
        </w:rPr>
        <w:t xml:space="preserve"> </w:t>
      </w:r>
      <w:r w:rsidRPr="0019300A">
        <w:rPr>
          <w:rFonts w:ascii="Tahoma" w:hAnsi="Tahoma" w:cs="Tahoma"/>
          <w:i/>
          <w:sz w:val="20"/>
          <w:szCs w:val="20"/>
        </w:rPr>
        <w:tab/>
        <w:t>“Es pasible de sanción el contratista que haya celebrado contrato con la Entidad a pesar de estar impedido para ello, por encontrarse incurso en alguna de los impedim</w:t>
      </w:r>
      <w:r w:rsidR="00E742E7" w:rsidRPr="0019300A">
        <w:rPr>
          <w:rFonts w:ascii="Tahoma" w:hAnsi="Tahoma" w:cs="Tahoma"/>
          <w:i/>
          <w:sz w:val="20"/>
          <w:szCs w:val="20"/>
        </w:rPr>
        <w:t>entos regulados en el artículo 10</w:t>
      </w:r>
      <w:r w:rsidRPr="0019300A">
        <w:rPr>
          <w:rFonts w:ascii="Tahoma" w:hAnsi="Tahoma" w:cs="Tahoma"/>
          <w:i/>
          <w:sz w:val="20"/>
          <w:szCs w:val="20"/>
        </w:rPr>
        <w:t xml:space="preserve"> de la Ley”</w:t>
      </w:r>
    </w:p>
    <w:p w:rsidR="009B6D8B" w:rsidRPr="00EF6D22" w:rsidRDefault="009B6D8B" w:rsidP="009B6D8B">
      <w:pPr>
        <w:pStyle w:val="Textoindependiente3"/>
        <w:spacing w:after="0"/>
        <w:rPr>
          <w:rFonts w:ascii="Tahoma" w:hAnsi="Tahoma" w:cs="Tahoma"/>
          <w:i/>
          <w:sz w:val="22"/>
          <w:szCs w:val="22"/>
          <w:lang w:val="es-ES"/>
        </w:rPr>
      </w:pPr>
    </w:p>
    <w:p w:rsidR="009B6D8B" w:rsidRPr="00EF6D22" w:rsidRDefault="009B6D8B" w:rsidP="009B6D8B">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D3020F">
        <w:rPr>
          <w:rFonts w:ascii="Tahoma" w:hAnsi="Tahoma" w:cs="Tahoma"/>
          <w:b/>
          <w:sz w:val="22"/>
          <w:szCs w:val="22"/>
        </w:rPr>
        <w:t xml:space="preserve"> 20 de Julio de 2011</w:t>
      </w:r>
    </w:p>
    <w:p w:rsidR="009B6D8B" w:rsidRPr="00EF6D22" w:rsidRDefault="009B6D8B" w:rsidP="009B6D8B">
      <w:pPr>
        <w:pStyle w:val="Textoindependiente3"/>
        <w:spacing w:after="0"/>
        <w:ind w:left="5387"/>
        <w:jc w:val="both"/>
        <w:rPr>
          <w:rFonts w:ascii="Tahoma" w:hAnsi="Tahoma" w:cs="Tahoma"/>
          <w:b/>
          <w:sz w:val="22"/>
          <w:szCs w:val="22"/>
        </w:rPr>
      </w:pPr>
    </w:p>
    <w:p w:rsidR="009B6D8B" w:rsidRPr="009B6D8B" w:rsidRDefault="009B6D8B" w:rsidP="005B261A">
      <w:pPr>
        <w:ind w:firstLine="567"/>
        <w:contextualSpacing/>
        <w:jc w:val="both"/>
        <w:rPr>
          <w:rFonts w:ascii="Tahoma" w:hAnsi="Tahoma" w:cs="Tahoma"/>
          <w:sz w:val="22"/>
          <w:szCs w:val="22"/>
        </w:rPr>
      </w:pPr>
      <w:r w:rsidRPr="009B6D8B">
        <w:rPr>
          <w:rFonts w:ascii="Tahoma" w:hAnsi="Tahoma" w:cs="Tahoma"/>
          <w:b/>
          <w:sz w:val="22"/>
          <w:szCs w:val="22"/>
        </w:rPr>
        <w:t xml:space="preserve">Visto </w:t>
      </w:r>
      <w:r w:rsidRPr="009B6D8B">
        <w:rPr>
          <w:rFonts w:ascii="Tahoma" w:hAnsi="Tahoma" w:cs="Tahoma"/>
          <w:sz w:val="22"/>
          <w:szCs w:val="22"/>
        </w:rPr>
        <w:t>en sesión de fecha 20 de julio de 2011 la Primera Sala del Tribunal de Contrataciones del Estado el Expediente N°</w:t>
      </w:r>
      <w:r w:rsidRPr="009B6D8B">
        <w:rPr>
          <w:rFonts w:ascii="Tahoma" w:hAnsi="Tahoma" w:cs="Tahoma"/>
          <w:b/>
          <w:sz w:val="22"/>
          <w:szCs w:val="22"/>
        </w:rPr>
        <w:t xml:space="preserve"> </w:t>
      </w:r>
      <w:r>
        <w:rPr>
          <w:rFonts w:ascii="Tahoma" w:hAnsi="Tahoma" w:cs="Tahoma"/>
          <w:sz w:val="22"/>
          <w:szCs w:val="22"/>
        </w:rPr>
        <w:t>20</w:t>
      </w:r>
      <w:r w:rsidRPr="009B6D8B">
        <w:rPr>
          <w:rFonts w:ascii="Tahoma" w:hAnsi="Tahoma" w:cs="Tahoma"/>
          <w:sz w:val="22"/>
          <w:szCs w:val="22"/>
        </w:rPr>
        <w:t>-2011.TC; sobre el procedimiento administrativo sancionador iniciado contra la empresa COMPANIA IMPORTADORA VAL S.A.,</w:t>
      </w:r>
      <w:r w:rsidRPr="009B6D8B">
        <w:rPr>
          <w:rFonts w:ascii="Tahoma" w:eastAsia="MS Mincho" w:hAnsi="Tahoma" w:cs="Tahoma"/>
          <w:sz w:val="22"/>
          <w:szCs w:val="22"/>
        </w:rPr>
        <w:t xml:space="preserve"> </w:t>
      </w:r>
      <w:r w:rsidRPr="009B6D8B">
        <w:rPr>
          <w:rFonts w:ascii="Tahoma" w:hAnsi="Tahoma" w:cs="Tahoma"/>
          <w:sz w:val="22"/>
          <w:szCs w:val="22"/>
        </w:rPr>
        <w:t>por haber contratado con la Estado pese a estar impedido de acuerdo con lo previsto en el artículo 10 de la Ley, infracción tipificada en literal d) del numeral 51.1 del artículo 51 de la Ley</w:t>
      </w:r>
    </w:p>
    <w:p w:rsidR="009B6D8B" w:rsidRPr="009B6D8B" w:rsidRDefault="009B6D8B" w:rsidP="009B6D8B">
      <w:pPr>
        <w:ind w:firstLine="567"/>
        <w:contextualSpacing/>
        <w:jc w:val="both"/>
        <w:rPr>
          <w:rFonts w:ascii="Tahoma" w:hAnsi="Tahoma" w:cs="Tahoma"/>
          <w:b/>
          <w:sz w:val="22"/>
          <w:szCs w:val="22"/>
          <w:lang w:val="es-ES_tradnl"/>
        </w:rPr>
      </w:pPr>
    </w:p>
    <w:p w:rsidR="009B6D8B" w:rsidRPr="009B6D8B" w:rsidRDefault="009B6D8B" w:rsidP="009B6D8B">
      <w:pPr>
        <w:pStyle w:val="Prrafodelista"/>
        <w:ind w:left="567"/>
        <w:rPr>
          <w:rFonts w:ascii="Tahoma" w:hAnsi="Tahoma" w:cs="Tahoma"/>
          <w:b/>
          <w:sz w:val="22"/>
          <w:szCs w:val="22"/>
        </w:rPr>
      </w:pPr>
      <w:r w:rsidRPr="009B6D8B">
        <w:rPr>
          <w:rFonts w:ascii="Tahoma" w:hAnsi="Tahoma" w:cs="Tahoma"/>
          <w:b/>
          <w:sz w:val="22"/>
          <w:szCs w:val="22"/>
        </w:rPr>
        <w:t>ANTECEDENTES:</w:t>
      </w:r>
    </w:p>
    <w:p w:rsidR="009B6D8B" w:rsidRPr="009B6D8B" w:rsidRDefault="009B6D8B" w:rsidP="009B6D8B">
      <w:pPr>
        <w:jc w:val="both"/>
        <w:rPr>
          <w:rFonts w:ascii="Tahoma" w:hAnsi="Tahoma" w:cs="Tahoma"/>
          <w:b/>
          <w:sz w:val="22"/>
          <w:szCs w:val="22"/>
          <w:lang w:eastAsia="es-PE"/>
        </w:rPr>
      </w:pPr>
    </w:p>
    <w:p w:rsidR="009B6D8B" w:rsidRPr="009B6D8B" w:rsidRDefault="009B6D8B" w:rsidP="009B6D8B">
      <w:pPr>
        <w:numPr>
          <w:ilvl w:val="0"/>
          <w:numId w:val="6"/>
        </w:numPr>
        <w:tabs>
          <w:tab w:val="num" w:pos="0"/>
        </w:tabs>
        <w:ind w:left="567" w:hanging="567"/>
        <w:jc w:val="both"/>
        <w:rPr>
          <w:rFonts w:ascii="Tahoma" w:hAnsi="Tahoma" w:cs="Tahoma"/>
          <w:color w:val="000000" w:themeColor="text1"/>
          <w:sz w:val="22"/>
          <w:szCs w:val="22"/>
        </w:rPr>
      </w:pPr>
      <w:r w:rsidRPr="009B6D8B">
        <w:rPr>
          <w:rFonts w:ascii="Tahoma" w:hAnsi="Tahoma" w:cs="Tahoma"/>
          <w:color w:val="000000" w:themeColor="text1"/>
          <w:sz w:val="22"/>
          <w:szCs w:val="22"/>
        </w:rPr>
        <w:t xml:space="preserve">El 02 de junio del 2010, la </w:t>
      </w:r>
      <w:r w:rsidRPr="009B6D8B">
        <w:rPr>
          <w:rFonts w:ascii="Tahoma" w:hAnsi="Tahoma" w:cs="Tahoma"/>
          <w:color w:val="000000" w:themeColor="text1"/>
          <w:sz w:val="22"/>
          <w:szCs w:val="22"/>
          <w:lang w:val="es-PE"/>
        </w:rPr>
        <w:t>MUNICIPALIDAD PROVINCIAL DE LAMPA</w:t>
      </w:r>
      <w:r w:rsidRPr="009B6D8B">
        <w:rPr>
          <w:rFonts w:ascii="Tahoma" w:hAnsi="Tahoma" w:cs="Tahoma"/>
          <w:color w:val="000000" w:themeColor="text1"/>
          <w:sz w:val="22"/>
          <w:szCs w:val="22"/>
        </w:rPr>
        <w:t xml:space="preserve">, en adelante la Entidad, convocó la </w:t>
      </w:r>
      <w:r w:rsidRPr="009B6D8B">
        <w:rPr>
          <w:rFonts w:ascii="Tahoma" w:hAnsi="Tahoma" w:cs="Tahoma"/>
          <w:color w:val="000000" w:themeColor="text1"/>
          <w:sz w:val="22"/>
          <w:szCs w:val="22"/>
          <w:lang w:eastAsia="es-ES_tradnl"/>
        </w:rPr>
        <w:t>Licitación Pública Nº 02-2010-MPL/CE, bajo el ámbito del Decreto de Urgencia Nº 078-2010</w:t>
      </w:r>
      <w:r w:rsidRPr="009B6D8B">
        <w:rPr>
          <w:rFonts w:ascii="Tahoma" w:hAnsi="Tahoma" w:cs="Tahoma"/>
          <w:color w:val="000000" w:themeColor="text1"/>
          <w:sz w:val="22"/>
          <w:szCs w:val="22"/>
        </w:rPr>
        <w:t xml:space="preserve">, para la </w:t>
      </w:r>
      <w:r w:rsidRPr="009B6D8B">
        <w:rPr>
          <w:rFonts w:ascii="Tahoma" w:hAnsi="Tahoma" w:cs="Tahoma"/>
          <w:i/>
          <w:color w:val="000000" w:themeColor="text1"/>
          <w:sz w:val="22"/>
          <w:szCs w:val="22"/>
        </w:rPr>
        <w:t>“Adquisición de volquetes para el mejoramiento de la capacidad operativa del área de maquinaria y equipo de la Municipalidad Provincial de Lampa”</w:t>
      </w:r>
      <w:r w:rsidRPr="009B6D8B">
        <w:rPr>
          <w:rFonts w:ascii="Tahoma" w:hAnsi="Tahoma" w:cs="Tahoma"/>
          <w:color w:val="000000" w:themeColor="text1"/>
          <w:sz w:val="22"/>
          <w:szCs w:val="22"/>
        </w:rPr>
        <w:t xml:space="preserve">. </w:t>
      </w:r>
    </w:p>
    <w:p w:rsidR="009B6D8B" w:rsidRPr="009B6D8B" w:rsidRDefault="009B6D8B" w:rsidP="009B6D8B">
      <w:pPr>
        <w:ind w:left="567"/>
        <w:jc w:val="both"/>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Con fecha 21 de junio de 2010, se llevó a cabo el acto de otorgamiento de la buena pro, en el cual se favoreció a la empresa COMPANIA IMPORTADORA VAL S.A., en adelante la Contratista.</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El 30 de junio del 2010, la Entidad y la Contratista suscribieron el CONTRATO PARA LA ADQUISICIÓN DE DOS VOLQUETES PARA EL MEJORAMIENTO DE LA CAPACIDAD OPERATIVA DEL ÁREA DE MAQUINARIA Y EQUIPO DE LA MUNICIPALIDAD PROVINCIAL DE LAMPA.</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Mediante escrito presentado el 06 de enero del 2011, el señor Eusebio Hemesio Cordova Mejia, denunció a la Contratista por haber participado en un proceso de selección estando impedido para ello, fundamentando lo siguiente:</w:t>
      </w:r>
    </w:p>
    <w:p w:rsidR="009B6D8B" w:rsidRPr="009B6D8B" w:rsidRDefault="009B6D8B" w:rsidP="009B6D8B">
      <w:pPr>
        <w:jc w:val="both"/>
        <w:rPr>
          <w:rFonts w:ascii="Tahoma" w:hAnsi="Tahoma" w:cs="Tahoma"/>
          <w:sz w:val="22"/>
          <w:szCs w:val="22"/>
        </w:rPr>
      </w:pPr>
    </w:p>
    <w:p w:rsidR="009B6D8B" w:rsidRPr="009B6D8B" w:rsidRDefault="009B6D8B" w:rsidP="009B6D8B">
      <w:pPr>
        <w:numPr>
          <w:ilvl w:val="0"/>
          <w:numId w:val="7"/>
        </w:numPr>
        <w:tabs>
          <w:tab w:val="clear" w:pos="720"/>
          <w:tab w:val="num" w:pos="900"/>
        </w:tabs>
        <w:ind w:left="900"/>
        <w:jc w:val="both"/>
        <w:rPr>
          <w:rFonts w:ascii="Tahoma" w:hAnsi="Tahoma" w:cs="Tahoma"/>
          <w:sz w:val="22"/>
          <w:szCs w:val="22"/>
        </w:rPr>
      </w:pPr>
      <w:r w:rsidRPr="009B6D8B">
        <w:rPr>
          <w:rFonts w:ascii="Tahoma" w:hAnsi="Tahoma" w:cs="Tahoma"/>
          <w:sz w:val="22"/>
          <w:szCs w:val="22"/>
        </w:rPr>
        <w:t>La Contratista tiene como Gerente General al señor Luis D. Vilca Luza, que también fue Gerente General de la empresa Luza Coporation S.A.C., la misma  que fue sancionada administrativamente a través de la Resolución Nº 2759-2009-TC-S4, por un periodo de catorce meses, es decir desde el 08 de enero del 2010 hasta el 07 de marzo del 2011.</w:t>
      </w:r>
    </w:p>
    <w:p w:rsidR="009B6D8B" w:rsidRPr="009B6D8B" w:rsidRDefault="009B6D8B" w:rsidP="009B6D8B">
      <w:pPr>
        <w:ind w:left="900"/>
        <w:jc w:val="both"/>
        <w:rPr>
          <w:rFonts w:ascii="Tahoma" w:hAnsi="Tahoma" w:cs="Tahoma"/>
          <w:sz w:val="22"/>
          <w:szCs w:val="22"/>
        </w:rPr>
      </w:pPr>
    </w:p>
    <w:p w:rsidR="009B6D8B" w:rsidRPr="009B6D8B" w:rsidRDefault="009B6D8B" w:rsidP="009B6D8B">
      <w:pPr>
        <w:numPr>
          <w:ilvl w:val="0"/>
          <w:numId w:val="7"/>
        </w:numPr>
        <w:tabs>
          <w:tab w:val="clear" w:pos="720"/>
          <w:tab w:val="num" w:pos="900"/>
        </w:tabs>
        <w:ind w:left="900"/>
        <w:jc w:val="both"/>
        <w:rPr>
          <w:rFonts w:ascii="Tahoma" w:hAnsi="Tahoma" w:cs="Tahoma"/>
          <w:sz w:val="22"/>
          <w:szCs w:val="22"/>
        </w:rPr>
      </w:pPr>
      <w:r w:rsidRPr="009B6D8B">
        <w:rPr>
          <w:rFonts w:ascii="Tahoma" w:hAnsi="Tahoma" w:cs="Tahoma"/>
          <w:sz w:val="22"/>
          <w:szCs w:val="22"/>
        </w:rPr>
        <w:t xml:space="preserve">En tal sentido, el señor Luis D. Vilca Luza al haber pertenecido al órgano de administración de una empresa inhabilitada para contratar con el Estado, no puede participar ni vender en procesos de selección convocados por </w:t>
      </w:r>
      <w:r w:rsidRPr="009B6D8B">
        <w:rPr>
          <w:rFonts w:ascii="Tahoma" w:hAnsi="Tahoma" w:cs="Tahoma"/>
          <w:sz w:val="22"/>
          <w:szCs w:val="22"/>
        </w:rPr>
        <w:lastRenderedPageBreak/>
        <w:t>entidades públicas, toda vez que está impedido para ser postor y/o contratista, en virtud del literal k) del artículo 10 de la Ley.</w:t>
      </w:r>
    </w:p>
    <w:p w:rsidR="009B6D8B" w:rsidRPr="009B6D8B" w:rsidRDefault="009B6D8B" w:rsidP="009B6D8B">
      <w:pPr>
        <w:jc w:val="both"/>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Con decreto de fecha 11 de enero del 2011, se corrió traslado a la Entidad de la denuncia interpuesta, a fin que cumpla con remitir, entre otros documentos, un Informe Técnico Legal sobre la procedencia y presunta responsabilidad de la Contratista al haber contratado con el Estado estando impedido para ello, de acuerdo a lo previsto en el literal k) del artículo 10 de la Ley.</w:t>
      </w:r>
    </w:p>
    <w:p w:rsidR="009B6D8B" w:rsidRPr="009B6D8B" w:rsidRDefault="009B6D8B" w:rsidP="009B6D8B">
      <w:pPr>
        <w:ind w:left="567"/>
        <w:jc w:val="both"/>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Teniendo en consideración que la Entidad no cumplió con remitir la documentación solicitada mediante decreto de fecha 11 de enero del 2011, a través del decreto de fecha 24 de febrero del 2011 se reiteró a fin que cumpla con presentar lo requerido.</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A través del decreto de fecha 21 de marzo del 2011, se hizo efectivo el apercibimiento de resolver con la documentación obrante en autos y se remitió el presente expediente a la Primera Sala del Tribunal, teniendo en consideración que la Entidad no cumplió con remitir la documentación solicitada de manera reiterada a través de los decreto de fecha 11 de enero del 2011 y 24 de febrero del 2011.</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 xml:space="preserve">Mediante escrito presentado el 06 de abril del 2011, la Entidad remitió diversa documentación referida al trámite de la </w:t>
      </w:r>
      <w:r w:rsidRPr="009B6D8B">
        <w:rPr>
          <w:rFonts w:ascii="Tahoma" w:hAnsi="Tahoma" w:cs="Tahoma"/>
          <w:color w:val="000000" w:themeColor="text1"/>
          <w:sz w:val="22"/>
          <w:szCs w:val="22"/>
        </w:rPr>
        <w:t xml:space="preserve"> </w:t>
      </w:r>
      <w:r w:rsidRPr="009B6D8B">
        <w:rPr>
          <w:rFonts w:ascii="Tahoma" w:hAnsi="Tahoma" w:cs="Tahoma"/>
          <w:color w:val="000000" w:themeColor="text1"/>
          <w:sz w:val="22"/>
          <w:szCs w:val="22"/>
          <w:lang w:eastAsia="es-ES_tradnl"/>
        </w:rPr>
        <w:t>Licitación Pública Nº 02-2010-MPL/CE, bajo el ámbito del Decreto de Urgencia Nº 078-2010.</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Con fecha 18 de abril del 2011, se emitió el Acuerdo Nº 266/2011.TC-S1 de fecha 18 de abril del 2011, mediante el cual se dispuso iniciar procedimiento administrativo sancionador contra la Contratista, por su supuesta responsabilidad al haber contratado con el Estado, estando impedido para ello, de acuerdo a lo previsto en el literal k) del artículo 10 de la Ley, infracción tipificada en el literal d) del artículo 51 de la Ley de Contrataciones del Estado.</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A través del decreto de fecha 20 de abril del 2011, se inició procedimiento administrativo sancionador contra la Contratista, por supuesta responsabilidad al haber contratado con el Estado, estando impedido para ello, en la Licitación Pública Nº 02-2010-MPL/CE, bajo el ámbito del Decreto de Urgencia Nº 078-2009 (Primera Convocatoria). Asimismo, se le otorgó un plazo de diez (10) días, a fin que cumpla con presentar sus descargos.</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Teniendo en consideración que la Contratista no cumplió con presentar sus descargos dentro del plazo otorgado, mediante decreto de fecha 04 de julio del 2011, se hizo efectivo el apercibimiento de resolver con la documentación obrante en autos, remitiéndose el presente expediente a la Primera Sala del Tribunal.</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lastRenderedPageBreak/>
        <w:t>Con Memorandum Nº 030-2011 de fecha 13 de julio del 2011, se solicitó a la Secretaría del Tribunal que incorpore al presente expediente la Copia Informativa de la Partida Nº 11063976, correspondiente a la Inscripción de Sociedades Anónimas de la empresa Luz Corporation S.A.C., el mismo que obra a folios 165 al 174 del expediente Nº 21-2011-TC.</w:t>
      </w:r>
    </w:p>
    <w:p w:rsidR="009B6D8B" w:rsidRPr="009B6D8B" w:rsidRDefault="009B6D8B" w:rsidP="009B6D8B">
      <w:pPr>
        <w:pStyle w:val="Prrafodelista"/>
        <w:rPr>
          <w:rFonts w:ascii="Tahoma" w:hAnsi="Tahoma" w:cs="Tahoma"/>
          <w:sz w:val="22"/>
          <w:szCs w:val="22"/>
        </w:rPr>
      </w:pPr>
    </w:p>
    <w:p w:rsidR="009B6D8B" w:rsidRPr="009B6D8B" w:rsidRDefault="009B6D8B" w:rsidP="009B6D8B">
      <w:pPr>
        <w:numPr>
          <w:ilvl w:val="0"/>
          <w:numId w:val="6"/>
        </w:numPr>
        <w:tabs>
          <w:tab w:val="num" w:pos="0"/>
        </w:tabs>
        <w:ind w:left="567" w:hanging="567"/>
        <w:jc w:val="both"/>
        <w:rPr>
          <w:rFonts w:ascii="Tahoma" w:hAnsi="Tahoma" w:cs="Tahoma"/>
          <w:sz w:val="22"/>
          <w:szCs w:val="22"/>
        </w:rPr>
      </w:pPr>
      <w:r w:rsidRPr="009B6D8B">
        <w:rPr>
          <w:rFonts w:ascii="Tahoma" w:hAnsi="Tahoma" w:cs="Tahoma"/>
          <w:sz w:val="22"/>
          <w:szCs w:val="22"/>
        </w:rPr>
        <w:t>A través del decreto de fecha 14 de julio del 2011, se anexó al presente expediente la copia de los documentos solicitados mediante el Memorandum Nº 030-2011 de fecha 13 de julio del 2011.</w:t>
      </w:r>
    </w:p>
    <w:p w:rsidR="009B6D8B" w:rsidRPr="009B6D8B" w:rsidRDefault="009B6D8B" w:rsidP="009B6D8B">
      <w:pPr>
        <w:rPr>
          <w:rFonts w:ascii="Tahoma" w:hAnsi="Tahoma" w:cs="Tahoma"/>
          <w:b/>
          <w:sz w:val="22"/>
          <w:szCs w:val="22"/>
        </w:rPr>
      </w:pPr>
    </w:p>
    <w:p w:rsidR="009B6D8B" w:rsidRPr="009B6D8B" w:rsidRDefault="009B6D8B" w:rsidP="009B6D8B">
      <w:pPr>
        <w:pStyle w:val="Prrafodelista"/>
        <w:ind w:left="567"/>
        <w:rPr>
          <w:rFonts w:ascii="Tahoma" w:hAnsi="Tahoma" w:cs="Tahoma"/>
          <w:b/>
          <w:sz w:val="22"/>
          <w:szCs w:val="22"/>
        </w:rPr>
      </w:pPr>
      <w:r w:rsidRPr="009B6D8B">
        <w:rPr>
          <w:rFonts w:ascii="Tahoma" w:hAnsi="Tahoma" w:cs="Tahoma"/>
          <w:b/>
          <w:sz w:val="22"/>
          <w:szCs w:val="22"/>
        </w:rPr>
        <w:t>FUNDAMENTACIÓN</w:t>
      </w:r>
    </w:p>
    <w:p w:rsidR="009B6D8B" w:rsidRPr="009B6D8B" w:rsidRDefault="009B6D8B" w:rsidP="009B6D8B">
      <w:pPr>
        <w:ind w:left="426"/>
        <w:jc w:val="both"/>
        <w:rPr>
          <w:rFonts w:ascii="Tahoma" w:hAnsi="Tahoma" w:cs="Tahoma"/>
          <w:sz w:val="22"/>
          <w:szCs w:val="22"/>
          <w:lang w:eastAsia="es-PE"/>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9B6D8B" w:rsidRPr="009B6D8B" w:rsidRDefault="009B6D8B" w:rsidP="009B6D8B">
      <w:pPr>
        <w:pStyle w:val="Prrafodelista"/>
        <w:tabs>
          <w:tab w:val="num" w:pos="567"/>
        </w:tabs>
        <w:ind w:left="567" w:hanging="567"/>
        <w:jc w:val="both"/>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9B6D8B">
        <w:rPr>
          <w:rFonts w:ascii="Tahoma" w:hAnsi="Tahoma" w:cs="Tahoma"/>
          <w:sz w:val="22"/>
          <w:szCs w:val="22"/>
          <w:lang w:val="es-MX"/>
        </w:rPr>
        <w:t>51 y 52 de la Ley de Contrataciones del Estado,</w:t>
      </w:r>
      <w:r w:rsidRPr="009B6D8B">
        <w:rPr>
          <w:rFonts w:ascii="Tahoma" w:hAnsi="Tahoma" w:cs="Tahoma"/>
          <w:sz w:val="22"/>
          <w:szCs w:val="22"/>
        </w:rPr>
        <w:t xml:space="preserve"> aprobada mediante Decreto Legislativo № 1017,</w:t>
      </w:r>
      <w:r w:rsidRPr="009B6D8B">
        <w:rPr>
          <w:rFonts w:ascii="Tahoma" w:hAnsi="Tahoma" w:cs="Tahoma"/>
          <w:sz w:val="22"/>
          <w:szCs w:val="22"/>
          <w:lang w:val="es-MX"/>
        </w:rPr>
        <w:t xml:space="preserve"> </w:t>
      </w:r>
      <w:r w:rsidRPr="009B6D8B">
        <w:rPr>
          <w:rFonts w:ascii="Tahoma" w:hAnsi="Tahoma" w:cs="Tahoma"/>
          <w:sz w:val="22"/>
          <w:szCs w:val="22"/>
        </w:rPr>
        <w:t xml:space="preserve">norma aplicable al momento de la presunta comisión de la infracción, </w:t>
      </w:r>
      <w:r w:rsidRPr="009B6D8B">
        <w:rPr>
          <w:rFonts w:ascii="Tahoma" w:hAnsi="Tahoma" w:cs="Tahoma"/>
          <w:sz w:val="22"/>
          <w:szCs w:val="22"/>
          <w:lang w:val="es-MX"/>
        </w:rPr>
        <w:t>sin perjuicio de las acciones legales que les correspondan adoptar a las Entidades, dentro de sus respectivas atribuciones, en salvaguarda de sus intereses</w:t>
      </w:r>
      <w:r w:rsidRPr="009B6D8B">
        <w:rPr>
          <w:rFonts w:ascii="Tahoma" w:hAnsi="Tahoma" w:cs="Tahoma"/>
          <w:sz w:val="22"/>
          <w:szCs w:val="22"/>
        </w:rPr>
        <w:t>.</w:t>
      </w:r>
    </w:p>
    <w:p w:rsidR="009B6D8B" w:rsidRPr="009B6D8B" w:rsidRDefault="009B6D8B" w:rsidP="009B6D8B">
      <w:pPr>
        <w:pStyle w:val="Prrafodelista"/>
        <w:rPr>
          <w:rFonts w:ascii="Tahoma" w:hAnsi="Tahoma" w:cs="Tahoma"/>
          <w:sz w:val="22"/>
          <w:szCs w:val="22"/>
          <w:lang w:val="es-PE"/>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lang w:val="es-PE"/>
        </w:rPr>
        <w:t xml:space="preserve">El presente procedimiento administrativo está referido a la supuesta responsabilidad de la </w:t>
      </w:r>
      <w:r w:rsidRPr="009B6D8B">
        <w:rPr>
          <w:rFonts w:ascii="Tahoma" w:hAnsi="Tahoma" w:cs="Tahoma"/>
          <w:sz w:val="22"/>
          <w:szCs w:val="22"/>
        </w:rPr>
        <w:t>Contratista, por haber contratado con la Estado pese a estar impedido de acuerdo con lo previsto en el artículo 10 de la Ley, infracción tipificada en literal d) del numeral 51.1 del artículo 51 de la Ley.</w:t>
      </w:r>
    </w:p>
    <w:p w:rsidR="009B6D8B" w:rsidRPr="009B6D8B" w:rsidRDefault="009B6D8B" w:rsidP="009B6D8B">
      <w:pPr>
        <w:pStyle w:val="Prrafodelista"/>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lang w:val="es-MX"/>
        </w:rPr>
        <w:t xml:space="preserve">Al respecto, dicha causal de infracción establece como supuesto de hecho indispensable para su </w:t>
      </w:r>
      <w:r w:rsidRPr="009B6D8B">
        <w:rPr>
          <w:rFonts w:ascii="Tahoma" w:hAnsi="Tahoma" w:cs="Tahoma"/>
          <w:sz w:val="22"/>
          <w:szCs w:val="22"/>
        </w:rPr>
        <w:t xml:space="preserve">configuración, que la Contratista haya suscrito contrato con el Estado, estando impedido para ello de acuerdo a las causales señaladas en el artículo </w:t>
      </w:r>
      <w:r w:rsidRPr="009B6D8B">
        <w:rPr>
          <w:rFonts w:ascii="Tahoma" w:hAnsi="Tahoma" w:cs="Tahoma"/>
          <w:sz w:val="22"/>
          <w:szCs w:val="22"/>
          <w:lang w:val="es-PE"/>
        </w:rPr>
        <w:t xml:space="preserve">10 de la Ley, específicamente, por </w:t>
      </w:r>
      <w:r w:rsidRPr="009B6D8B">
        <w:rPr>
          <w:rFonts w:ascii="Tahoma" w:hAnsi="Tahoma" w:cs="Tahoma"/>
          <w:sz w:val="22"/>
          <w:szCs w:val="22"/>
        </w:rPr>
        <w:t>encontrarse incurso en el impedimento establecido en literal k</w:t>
      </w:r>
      <w:r w:rsidRPr="009B6D8B">
        <w:rPr>
          <w:rFonts w:ascii="Tahoma" w:hAnsi="Tahoma" w:cs="Tahoma"/>
          <w:sz w:val="22"/>
          <w:szCs w:val="22"/>
          <w:lang w:val="es-PE"/>
        </w:rPr>
        <w:t>) del artículo 10 del mencionado cuerpo normativo.</w:t>
      </w:r>
    </w:p>
    <w:p w:rsidR="009B6D8B" w:rsidRPr="009B6D8B" w:rsidRDefault="009B6D8B" w:rsidP="009B6D8B">
      <w:pPr>
        <w:pStyle w:val="Prrafodelista"/>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 xml:space="preserve">De esta manera, en virtud del literal k) del artículo 10 de La Ley, establece que están impedidos para ser postor y/o contratista –cualquiera sea el régimen legal de contratación aplicable– </w:t>
      </w:r>
      <w:r w:rsidRPr="009B6D8B">
        <w:rPr>
          <w:rFonts w:ascii="Tahoma" w:hAnsi="Tahoma" w:cs="Tahoma"/>
          <w:b/>
          <w:i/>
          <w:sz w:val="22"/>
          <w:szCs w:val="22"/>
        </w:rPr>
        <w:t xml:space="preserve">las personas jurídicas cuyos </w:t>
      </w:r>
      <w:r w:rsidRPr="009B6D8B">
        <w:rPr>
          <w:rFonts w:ascii="Tahoma" w:hAnsi="Tahoma" w:cs="Tahoma"/>
          <w:i/>
          <w:sz w:val="22"/>
          <w:szCs w:val="22"/>
        </w:rPr>
        <w:t xml:space="preserve">socios, accionistas, participacionistas, titulares, integrantes de los órganos de administración, apoderados o </w:t>
      </w:r>
      <w:r w:rsidRPr="009B6D8B">
        <w:rPr>
          <w:rFonts w:ascii="Tahoma" w:hAnsi="Tahoma" w:cs="Tahoma"/>
          <w:b/>
          <w:i/>
          <w:sz w:val="22"/>
          <w:szCs w:val="22"/>
        </w:rPr>
        <w:t>representantes legales</w:t>
      </w:r>
      <w:r w:rsidRPr="009B6D8B">
        <w:rPr>
          <w:rFonts w:ascii="Tahoma" w:hAnsi="Tahoma" w:cs="Tahoma"/>
          <w:i/>
          <w:sz w:val="22"/>
          <w:szCs w:val="22"/>
        </w:rPr>
        <w:t xml:space="preserve"> </w:t>
      </w:r>
      <w:r w:rsidRPr="009B6D8B">
        <w:rPr>
          <w:rFonts w:ascii="Tahoma" w:hAnsi="Tahoma" w:cs="Tahoma"/>
          <w:b/>
          <w:i/>
          <w:sz w:val="22"/>
          <w:szCs w:val="22"/>
        </w:rPr>
        <w:t>que formen o hayan formado parte,</w:t>
      </w:r>
      <w:r w:rsidRPr="009B6D8B">
        <w:rPr>
          <w:rFonts w:ascii="Tahoma" w:hAnsi="Tahoma" w:cs="Tahoma"/>
          <w:i/>
          <w:sz w:val="22"/>
          <w:szCs w:val="22"/>
        </w:rPr>
        <w:t xml:space="preserve"> </w:t>
      </w:r>
      <w:r w:rsidRPr="009B6D8B">
        <w:rPr>
          <w:rFonts w:ascii="Tahoma" w:hAnsi="Tahoma" w:cs="Tahoma"/>
          <w:b/>
          <w:i/>
          <w:sz w:val="22"/>
          <w:szCs w:val="22"/>
        </w:rPr>
        <w:t xml:space="preserve">en los últimos doce (12) meses de impuesta la sanción, de personas </w:t>
      </w:r>
      <w:r w:rsidRPr="009B6D8B">
        <w:rPr>
          <w:rFonts w:ascii="Tahoma" w:hAnsi="Tahoma" w:cs="Tahoma"/>
          <w:b/>
          <w:i/>
          <w:sz w:val="22"/>
          <w:szCs w:val="22"/>
        </w:rPr>
        <w:lastRenderedPageBreak/>
        <w:t>jurídicas que se encuentren sancionadas administrativamente con inhabilitación temporal o permanente para participar en procesos de selección y para contratar con el Estado</w:t>
      </w:r>
      <w:r w:rsidRPr="009B6D8B">
        <w:rPr>
          <w:rFonts w:ascii="Tahoma" w:hAnsi="Tahoma" w:cs="Tahoma"/>
          <w:i/>
          <w:sz w:val="22"/>
          <w:szCs w:val="22"/>
        </w:rPr>
        <w:t>; o que habiendo actuado como personas naturales hayan sido sancionadas por la misma infracción; conforme a los criterios señalados en el presente Decreto Legislativo y su Reglamento. Para el caso de socios, participacionistas, o titulares este impedimento se aplicará siempre y cuando la participación sea superior al cinco por ciento (5%) del capital o patrimonio social y por el tiempo que la sanción se encuentre vigente (el resaltado es nuestro)”.</w:t>
      </w:r>
    </w:p>
    <w:p w:rsidR="009B6D8B" w:rsidRPr="009B6D8B" w:rsidRDefault="009B6D8B" w:rsidP="009B6D8B">
      <w:pPr>
        <w:tabs>
          <w:tab w:val="left" w:pos="2410"/>
        </w:tabs>
        <w:ind w:left="567"/>
        <w:jc w:val="both"/>
        <w:rPr>
          <w:rFonts w:ascii="Tahoma" w:hAnsi="Tahoma" w:cs="Tahoma"/>
          <w:i/>
          <w:sz w:val="22"/>
          <w:szCs w:val="22"/>
        </w:rPr>
      </w:pPr>
    </w:p>
    <w:p w:rsidR="009B6D8B" w:rsidRPr="009B6D8B" w:rsidRDefault="009B6D8B" w:rsidP="009B6D8B">
      <w:pPr>
        <w:ind w:left="567"/>
        <w:jc w:val="both"/>
        <w:rPr>
          <w:rFonts w:ascii="Tahoma" w:hAnsi="Tahoma" w:cs="Tahoma"/>
          <w:i/>
          <w:sz w:val="22"/>
          <w:szCs w:val="22"/>
        </w:rPr>
      </w:pPr>
      <w:r w:rsidRPr="009B6D8B">
        <w:rPr>
          <w:rFonts w:ascii="Tahoma" w:hAnsi="Tahoma" w:cs="Tahoma"/>
          <w:sz w:val="22"/>
          <w:szCs w:val="22"/>
        </w:rPr>
        <w:t xml:space="preserve">Al respecto, debe indicarse que el impedimento del literal k) del artículo 10 de la Ley se encuentra circunscrito a que las personas jurídicas sancionadas con inhabilitación temporal y, por tanto, impedidas de contratar con el Estado, tuvieran negada la posibilidad de que, obviando la sanción impuesta, creen una nueva persona jurídica, de modo que puedan seguir contratando con el Estado. En efecto, </w:t>
      </w:r>
      <w:r w:rsidRPr="009B6D8B">
        <w:rPr>
          <w:rFonts w:ascii="Tahoma" w:hAnsi="Tahoma" w:cs="Tahoma"/>
          <w:i/>
          <w:sz w:val="22"/>
          <w:szCs w:val="22"/>
        </w:rPr>
        <w:t>“con la disposición bajo comentario se busca que los efectos de la sanción impuesta por el Tribunal no sean soslayados o desconocidos, lo cual podría suceder si una empresa sancionada, participa en procesos de selección y/o contrata con el Estado, a través de terceras personas, como empresas en las cuales participa a través de los socios, accionistas, participacionistas o titulares, influenciando en las decisiones y en la gestión de la empresa”</w:t>
      </w:r>
      <w:r w:rsidRPr="009B6D8B">
        <w:rPr>
          <w:rStyle w:val="Refdenotaalpie"/>
          <w:rFonts w:ascii="Tahoma" w:hAnsi="Tahoma" w:cs="Tahoma"/>
          <w:i/>
          <w:sz w:val="22"/>
          <w:szCs w:val="22"/>
        </w:rPr>
        <w:footnoteReference w:id="2"/>
      </w:r>
      <w:r w:rsidRPr="009B6D8B">
        <w:rPr>
          <w:rFonts w:ascii="Tahoma" w:hAnsi="Tahoma" w:cs="Tahoma"/>
          <w:i/>
          <w:sz w:val="22"/>
          <w:szCs w:val="22"/>
        </w:rPr>
        <w:t>(Sic)</w:t>
      </w:r>
    </w:p>
    <w:p w:rsidR="009B6D8B" w:rsidRPr="009B6D8B" w:rsidRDefault="009B6D8B" w:rsidP="009B6D8B">
      <w:pPr>
        <w:pStyle w:val="Prrafodelista"/>
        <w:tabs>
          <w:tab w:val="left" w:pos="4320"/>
        </w:tabs>
        <w:ind w:left="567"/>
        <w:jc w:val="both"/>
        <w:rPr>
          <w:rFonts w:ascii="Tahoma" w:hAnsi="Tahoma" w:cs="Tahoma"/>
          <w:b/>
          <w:bCs/>
          <w:sz w:val="22"/>
          <w:szCs w:val="22"/>
        </w:rPr>
      </w:pPr>
    </w:p>
    <w:p w:rsidR="009B6D8B" w:rsidRPr="009B6D8B" w:rsidRDefault="009B6D8B" w:rsidP="009B6D8B">
      <w:pPr>
        <w:pStyle w:val="Prrafodelista"/>
        <w:widowControl/>
        <w:numPr>
          <w:ilvl w:val="0"/>
          <w:numId w:val="8"/>
        </w:numPr>
        <w:tabs>
          <w:tab w:val="clear" w:pos="360"/>
          <w:tab w:val="num" w:pos="567"/>
          <w:tab w:val="left" w:pos="4320"/>
        </w:tabs>
        <w:suppressAutoHyphens w:val="0"/>
        <w:ind w:left="567" w:hanging="567"/>
        <w:contextualSpacing/>
        <w:jc w:val="both"/>
        <w:rPr>
          <w:rFonts w:ascii="Tahoma" w:hAnsi="Tahoma" w:cs="Tahoma"/>
          <w:b/>
          <w:bCs/>
          <w:sz w:val="22"/>
          <w:szCs w:val="22"/>
        </w:rPr>
      </w:pPr>
      <w:r w:rsidRPr="009B6D8B">
        <w:rPr>
          <w:rFonts w:ascii="Tahoma" w:hAnsi="Tahoma" w:cs="Tahoma"/>
          <w:sz w:val="22"/>
          <w:szCs w:val="22"/>
        </w:rPr>
        <w:t>Ahora bien, la denuncia interpuesta, está referida a que la Contratista se encontraba impedido de participar en procesos de selección y contratar con el Estado, toda vez que el 08 de enero de 2010 el Tribunal de Contrataciones a través de la Resolución № 2759-2009-TC-S4, impuso a la empresa LUZA CORPORATION S.A.C. sanción de inhabilitación temporal en sus derechos para participar en procesos de selección y contratar con el Estado por el periodo de catorce (14) meses, siendo el Gerente General en esa fecha el señor Luis Demetrio Vilca Luza. De este modo, al ser la referida persona Gerente General de la Contratista, ésta se encontraba impedida de participar en procesos de selección y contratar con el Estado conforme a lo establecido por el literal K) del artículo 10) de la Ley de Contrataciones del Estado.</w:t>
      </w:r>
    </w:p>
    <w:p w:rsidR="009B6D8B" w:rsidRPr="009B6D8B" w:rsidRDefault="009B6D8B" w:rsidP="009B6D8B">
      <w:pPr>
        <w:tabs>
          <w:tab w:val="num" w:pos="567"/>
        </w:tabs>
        <w:jc w:val="both"/>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En ese sentido, obra en autos a folios № 028 al Nº 030 del presente expediente administrativo, el CONTRATO PARA LA ADQUISICIÓN DE DOS VOLQUETES PARA EL MEJORAMIENTO DE LA CAPACIDAD OPERATIVA DEL ÁREA DE MAQUINARIA Y EQUIPO DE LA MUNICIPALIDAD PROVINCIAL DE LAMPA, suscrito por la Entidad y la Contratista el 30 de junio del 2010, el mismo que deriva del otorgamiento de Buena Pro de la</w:t>
      </w:r>
      <w:r w:rsidRPr="009B6D8B">
        <w:rPr>
          <w:rFonts w:ascii="Tahoma" w:hAnsi="Tahoma" w:cs="Tahoma"/>
          <w:color w:val="000000" w:themeColor="text1"/>
          <w:sz w:val="22"/>
          <w:szCs w:val="22"/>
        </w:rPr>
        <w:t xml:space="preserve"> </w:t>
      </w:r>
      <w:r w:rsidRPr="009B6D8B">
        <w:rPr>
          <w:rFonts w:ascii="Tahoma" w:hAnsi="Tahoma" w:cs="Tahoma"/>
          <w:color w:val="000000" w:themeColor="text1"/>
          <w:sz w:val="22"/>
          <w:szCs w:val="22"/>
          <w:lang w:eastAsia="es-ES_tradnl"/>
        </w:rPr>
        <w:t>Licitación Pública Nº 02-2010-MPL/CE, bajo el ámbito del Decreto de Urgencia Nº 078-2010</w:t>
      </w:r>
      <w:r w:rsidRPr="009B6D8B">
        <w:rPr>
          <w:rFonts w:ascii="Tahoma" w:hAnsi="Tahoma" w:cs="Tahoma"/>
          <w:sz w:val="22"/>
          <w:szCs w:val="22"/>
          <w:lang w:val="es-PE"/>
        </w:rPr>
        <w:t xml:space="preserve">. Dicho contrato fue firmado por el señor </w:t>
      </w:r>
      <w:r w:rsidRPr="009B6D8B">
        <w:rPr>
          <w:rFonts w:ascii="Tahoma" w:hAnsi="Tahoma" w:cs="Tahoma"/>
          <w:sz w:val="22"/>
          <w:szCs w:val="22"/>
        </w:rPr>
        <w:t xml:space="preserve">Luis Demetrio Vilca Luza, </w:t>
      </w:r>
      <w:r w:rsidRPr="009B6D8B">
        <w:rPr>
          <w:rFonts w:ascii="Tahoma" w:hAnsi="Tahoma" w:cs="Tahoma"/>
          <w:sz w:val="22"/>
          <w:szCs w:val="22"/>
          <w:lang w:val="es-PE"/>
        </w:rPr>
        <w:t xml:space="preserve">Gerente General de la Contratista, siendo éste, </w:t>
      </w:r>
      <w:r w:rsidRPr="009B6D8B">
        <w:rPr>
          <w:rFonts w:ascii="Tahoma" w:hAnsi="Tahoma" w:cs="Tahoma"/>
          <w:sz w:val="22"/>
          <w:szCs w:val="22"/>
          <w:lang w:val="es-PE"/>
        </w:rPr>
        <w:lastRenderedPageBreak/>
        <w:t xml:space="preserve">según la denuncia interpuesta, </w:t>
      </w:r>
      <w:r w:rsidRPr="009B6D8B">
        <w:rPr>
          <w:rFonts w:ascii="Tahoma" w:hAnsi="Tahoma" w:cs="Tahoma"/>
          <w:i/>
          <w:sz w:val="22"/>
          <w:szCs w:val="22"/>
        </w:rPr>
        <w:t>Gerente General</w:t>
      </w:r>
      <w:r w:rsidRPr="009B6D8B">
        <w:rPr>
          <w:rFonts w:ascii="Tahoma" w:hAnsi="Tahoma" w:cs="Tahoma"/>
          <w:sz w:val="22"/>
          <w:szCs w:val="22"/>
        </w:rPr>
        <w:t xml:space="preserve"> de la empresa LUZA CORPORATION S.A.C.</w:t>
      </w:r>
    </w:p>
    <w:p w:rsidR="009B6D8B" w:rsidRPr="009B6D8B" w:rsidRDefault="009B6D8B" w:rsidP="009B6D8B">
      <w:pPr>
        <w:pStyle w:val="Prrafodelista"/>
        <w:rPr>
          <w:rFonts w:ascii="Tahoma" w:hAnsi="Tahoma" w:cs="Tahoma"/>
          <w:sz w:val="22"/>
          <w:szCs w:val="22"/>
          <w:lang w:val="es-MX"/>
        </w:rPr>
      </w:pPr>
    </w:p>
    <w:p w:rsidR="009B6D8B" w:rsidRPr="009B6D8B" w:rsidRDefault="009B6D8B" w:rsidP="009B6D8B">
      <w:pPr>
        <w:pStyle w:val="Prrafodelista"/>
        <w:ind w:left="567"/>
        <w:jc w:val="both"/>
        <w:rPr>
          <w:rFonts w:ascii="Tahoma" w:hAnsi="Tahoma" w:cs="Tahoma"/>
          <w:sz w:val="22"/>
          <w:szCs w:val="22"/>
        </w:rPr>
      </w:pPr>
      <w:r w:rsidRPr="009B6D8B">
        <w:rPr>
          <w:rFonts w:ascii="Tahoma" w:hAnsi="Tahoma" w:cs="Tahoma"/>
          <w:sz w:val="22"/>
          <w:szCs w:val="22"/>
          <w:lang w:val="es-MX"/>
        </w:rPr>
        <w:t xml:space="preserve">Tal afirmación se ve corroborada con la información obtenido de la página web de la Superintendencia Nacional de administración Tributaria (SUNAT), en el cual es posible verificar que </w:t>
      </w:r>
      <w:r w:rsidRPr="009B6D8B">
        <w:rPr>
          <w:rFonts w:ascii="Tahoma" w:hAnsi="Tahoma" w:cs="Tahoma"/>
          <w:sz w:val="22"/>
          <w:szCs w:val="22"/>
          <w:u w:val="single"/>
          <w:lang w:val="es-MX"/>
        </w:rPr>
        <w:t xml:space="preserve">Luis Demetrio Vilca Luza, con DNI № 25602369 tiene el cargo de Gerente - Gereneral de la empresa </w:t>
      </w:r>
      <w:r w:rsidRPr="009B6D8B">
        <w:rPr>
          <w:rFonts w:ascii="Tahoma" w:hAnsi="Tahoma" w:cs="Tahoma"/>
          <w:sz w:val="22"/>
          <w:szCs w:val="22"/>
          <w:u w:val="single"/>
        </w:rPr>
        <w:t>LUZA CORPORATION S.A.C.</w:t>
      </w:r>
      <w:r w:rsidRPr="009B6D8B">
        <w:rPr>
          <w:rFonts w:ascii="Tahoma" w:hAnsi="Tahoma" w:cs="Tahoma"/>
          <w:sz w:val="22"/>
          <w:szCs w:val="22"/>
          <w:u w:val="single"/>
          <w:lang w:val="es-MX"/>
        </w:rPr>
        <w:t xml:space="preserve"> desde el 28 de octubre de 2008</w:t>
      </w:r>
      <w:r w:rsidRPr="009B6D8B">
        <w:rPr>
          <w:rFonts w:ascii="Tahoma" w:hAnsi="Tahoma" w:cs="Tahoma"/>
          <w:sz w:val="22"/>
          <w:szCs w:val="22"/>
          <w:lang w:val="es-MX"/>
        </w:rPr>
        <w:t>. Asimismo, a obra en el expediente administrativo, la Partida Registral № 11063976 de la citada empresa, en el que se advierte que el señor Luis Demetrio Vilca Luza es nombrado Gerente General de la mencionada empresa, según escritura pública del 07 de noviembre de 2008, otorgada ante Notario Público, Luis Eduardo Marique Salas.</w:t>
      </w:r>
      <w:r w:rsidRPr="009B6D8B">
        <w:rPr>
          <w:rFonts w:ascii="Tahoma" w:hAnsi="Tahoma" w:cs="Tahoma"/>
          <w:sz w:val="22"/>
          <w:szCs w:val="22"/>
          <w:lang w:val="es-PE"/>
        </w:rPr>
        <w:t xml:space="preserve"> </w:t>
      </w:r>
    </w:p>
    <w:p w:rsidR="009B6D8B" w:rsidRPr="009B6D8B" w:rsidRDefault="009B6D8B" w:rsidP="009B6D8B">
      <w:pPr>
        <w:pStyle w:val="Prrafodelista"/>
        <w:rPr>
          <w:rFonts w:ascii="Tahoma" w:eastAsia="Calibri" w:hAnsi="Tahoma" w:cs="Tahoma"/>
          <w:sz w:val="22"/>
          <w:szCs w:val="22"/>
          <w:lang w:eastAsia="en-US"/>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eastAsia="Calibri" w:hAnsi="Tahoma" w:cs="Tahoma"/>
          <w:sz w:val="22"/>
          <w:szCs w:val="22"/>
          <w:lang w:eastAsia="en-US"/>
        </w:rPr>
        <w:t xml:space="preserve">En esa medida, teniendo en consideración que efectivamente a través de la Resolución № 2759-2009-TC-S4, la misma que fue emitida el 23 de diciembre de 2009, se advierte que la Cuarta Sala del Tribunal de Contrataciones del Estado, impuso a la empresa </w:t>
      </w:r>
      <w:r w:rsidRPr="009B6D8B">
        <w:rPr>
          <w:rFonts w:ascii="Tahoma" w:hAnsi="Tahoma" w:cs="Tahoma"/>
          <w:sz w:val="22"/>
          <w:szCs w:val="22"/>
        </w:rPr>
        <w:t>LUZA CORPORATION S.A.C.</w:t>
      </w:r>
      <w:r w:rsidRPr="009B6D8B">
        <w:rPr>
          <w:rFonts w:ascii="Tahoma" w:eastAsia="Calibri" w:hAnsi="Tahoma" w:cs="Tahoma"/>
          <w:sz w:val="22"/>
          <w:szCs w:val="22"/>
          <w:lang w:eastAsia="en-US"/>
        </w:rPr>
        <w:t xml:space="preserve">, (aquélla representada por el señor Luis Demetrio Vilca Luza) sanción de inhabilitación temporal en sus derechos para participar en procesos de selección y contratar con el Estado por el periodo de catorce (14) meses. </w:t>
      </w:r>
      <w:r w:rsidRPr="009B6D8B">
        <w:rPr>
          <w:rFonts w:ascii="Tahoma" w:hAnsi="Tahoma" w:cs="Tahoma"/>
          <w:sz w:val="22"/>
          <w:szCs w:val="22"/>
          <w:lang w:val="es-MX"/>
        </w:rPr>
        <w:t>Asimismo, d</w:t>
      </w:r>
      <w:r w:rsidRPr="009B6D8B">
        <w:rPr>
          <w:rFonts w:ascii="Tahoma" w:hAnsi="Tahoma" w:cs="Tahoma"/>
          <w:color w:val="000000"/>
          <w:sz w:val="22"/>
          <w:szCs w:val="22"/>
        </w:rPr>
        <w:t>e conformidad con la información que obra en la base de datos del Registro Nacional de Proveedores del OSCE, dicha sanción se hizo efectiva desde el 08 de enero de 2010 al 07 de marzo de 2011.</w:t>
      </w:r>
    </w:p>
    <w:p w:rsidR="009B6D8B" w:rsidRPr="009B6D8B" w:rsidRDefault="009B6D8B" w:rsidP="009B6D8B">
      <w:pPr>
        <w:pStyle w:val="Prrafodelista"/>
        <w:rPr>
          <w:rFonts w:ascii="Tahoma" w:eastAsia="Calibri" w:hAnsi="Tahoma" w:cs="Tahoma"/>
          <w:sz w:val="22"/>
          <w:szCs w:val="22"/>
          <w:lang w:eastAsia="en-US"/>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eastAsia="Calibri" w:hAnsi="Tahoma" w:cs="Tahoma"/>
          <w:sz w:val="22"/>
          <w:szCs w:val="22"/>
          <w:lang w:eastAsia="en-US"/>
        </w:rPr>
        <w:t xml:space="preserve">De este modo, al advertirse que el Gerente General de la empresa </w:t>
      </w:r>
      <w:r w:rsidRPr="009B6D8B">
        <w:rPr>
          <w:rFonts w:ascii="Tahoma" w:hAnsi="Tahoma" w:cs="Tahoma"/>
          <w:sz w:val="22"/>
          <w:szCs w:val="22"/>
        </w:rPr>
        <w:t>LUZA CORPORATION S.A.C.</w:t>
      </w:r>
      <w:r w:rsidRPr="009B6D8B">
        <w:rPr>
          <w:rFonts w:ascii="Tahoma" w:eastAsia="Calibri" w:hAnsi="Tahoma" w:cs="Tahoma"/>
          <w:sz w:val="22"/>
          <w:szCs w:val="22"/>
          <w:lang w:eastAsia="en-US"/>
        </w:rPr>
        <w:t xml:space="preserve"> es el señor Luis Demetrio Vilca Luza, y que dicha empresa ha sido sancionada con inhabilitación temporal para participar en procesos de selección y contratar con el Estado, sanción vigente desde el 08 de enero de 2010, puede colegirse entonces que el Contratista, al momento de contratar con la Entidad (28 de abril de 2010), estaba impedida de participar en procesos de selección y contratar con el Estado, de modo que en el presente caso la infracción imputada se ha configurado.</w:t>
      </w:r>
    </w:p>
    <w:p w:rsidR="009B6D8B" w:rsidRPr="009B6D8B" w:rsidRDefault="009B6D8B" w:rsidP="009B6D8B">
      <w:pPr>
        <w:ind w:left="709" w:hanging="567"/>
        <w:jc w:val="both"/>
        <w:rPr>
          <w:rFonts w:ascii="Tahoma" w:hAnsi="Tahoma" w:cs="Tahoma"/>
          <w:sz w:val="22"/>
          <w:szCs w:val="22"/>
          <w:lang w:eastAsia="en-US"/>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En ese orden de ideas, a efectos de graduar la sanción administrativa a imponerse, debe considerarse los criterios establecidos en el artículo 245 del Reglamento</w:t>
      </w:r>
      <w:r w:rsidRPr="009B6D8B">
        <w:rPr>
          <w:rStyle w:val="Refdenotaalpie"/>
          <w:rFonts w:ascii="Tahoma" w:eastAsia="Batang" w:hAnsi="Tahoma" w:cs="Tahoma"/>
          <w:sz w:val="22"/>
          <w:szCs w:val="22"/>
        </w:rPr>
        <w:footnoteReference w:id="3"/>
      </w:r>
      <w:r w:rsidRPr="009B6D8B">
        <w:rPr>
          <w:rFonts w:ascii="Tahoma" w:hAnsi="Tahoma" w:cs="Tahoma"/>
          <w:sz w:val="22"/>
          <w:szCs w:val="22"/>
        </w:rPr>
        <w:t xml:space="preserve">. </w:t>
      </w:r>
    </w:p>
    <w:p w:rsidR="009B6D8B" w:rsidRPr="009B6D8B" w:rsidRDefault="009B6D8B" w:rsidP="009B6D8B">
      <w:pPr>
        <w:pStyle w:val="Prrafodelista"/>
        <w:jc w:val="both"/>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 xml:space="preserve">Por lo cual, en relación con la naturaleza de la infracción cometida, la contratación con una Entidad estando impedido para ello, constituye una restricción legal (impedimento para contratar con el Estado) dispuesta a fin de velar por la seguridad y protección de los operadores de la contratación estatal. </w:t>
      </w:r>
    </w:p>
    <w:p w:rsidR="009B6D8B" w:rsidRPr="009B6D8B" w:rsidRDefault="009B6D8B" w:rsidP="009B6D8B">
      <w:pPr>
        <w:pStyle w:val="Prrafodelista"/>
        <w:tabs>
          <w:tab w:val="num" w:pos="567"/>
        </w:tabs>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Ahora bien, en cuanto al criterio de intencionalidad del infractor, debe precisarse que para graduar la sanción constituye un factor subjetivo que se dirige a medir el nivel de participación de la voluntad del agente en la comisión del ilícito. En tal sentido, resulta materialmente imposible que su probanza repose, en estricto, sobre la base de un medio probatorio objetivo. Por el contrario, a efectos de medir la intencionalidad, basta tomar en consideración una serie de hechos ciertos que permitan inferir claramente que existió voluntad de parte del infractor en la comisión del tipo, sea porque quiso obtener provecho propio o sea porque, en el peor de los casos, quiso causar algún tipo de daño. Por ello, el 28 de abril del 2010</w:t>
      </w:r>
      <w:r w:rsidRPr="009B6D8B">
        <w:rPr>
          <w:rFonts w:ascii="Tahoma" w:hAnsi="Tahoma" w:cs="Tahoma"/>
          <w:color w:val="000000"/>
          <w:sz w:val="22"/>
          <w:szCs w:val="22"/>
        </w:rPr>
        <w:t xml:space="preserve">, el representante legal del Contratista tenía conocimiento que su otrora representada (LUZA CORPORATION S.A.C.) había sido sancionada a través de la Resolución № 2759-2009-TC-S4, la misma que se hizo efectiva desde el 08 de enero de 2010, lo que revela la existencia de intencionalidad en la comisión de la infracción. </w:t>
      </w:r>
    </w:p>
    <w:p w:rsidR="009B6D8B" w:rsidRPr="009B6D8B" w:rsidRDefault="009B6D8B" w:rsidP="009B6D8B">
      <w:pPr>
        <w:pStyle w:val="Prrafodelista"/>
        <w:tabs>
          <w:tab w:val="num" w:pos="567"/>
        </w:tabs>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De esta manera, en lo que atañe al daño causado, es relevante tomar en cuenta, por un lado, la cuantía que subyace el Contrato de fecha 28 de abril de 2010, por el monto de S/. 548,000.00 Nuevos Soles, y, por el otro, que su conducta generó un daño a la Entidad, en tanto que el daño producto de una infracción administrativa surge con la sola realización de la conducta tipificada como sancionable, y que si bien es cierto, puede existir un grado mayor o menor de perjuicio realizado, es innegable el detrimento ocasionado a los fines y objetivos de la Entidad.</w:t>
      </w:r>
    </w:p>
    <w:p w:rsidR="009B6D8B" w:rsidRPr="009B6D8B" w:rsidRDefault="009B6D8B" w:rsidP="009B6D8B">
      <w:pPr>
        <w:contextualSpacing/>
        <w:jc w:val="both"/>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 xml:space="preserve">Asimismo, </w:t>
      </w:r>
      <w:r w:rsidRPr="009B6D8B">
        <w:rPr>
          <w:rFonts w:ascii="Tahoma" w:hAnsi="Tahoma" w:cs="Tahoma"/>
          <w:color w:val="000000" w:themeColor="text1"/>
          <w:sz w:val="22"/>
          <w:szCs w:val="22"/>
        </w:rPr>
        <w:t xml:space="preserve">debemos tener presente que la Contratista ha sido sancionada con anterioridad por este Tribunal, mediante Resolución Nº </w:t>
      </w:r>
      <w:r w:rsidRPr="009B6D8B">
        <w:rPr>
          <w:rFonts w:ascii="Tahoma" w:hAnsi="Tahoma" w:cs="Tahoma"/>
          <w:color w:val="000000" w:themeColor="text1"/>
          <w:sz w:val="22"/>
          <w:szCs w:val="22"/>
          <w:lang w:val="es-ES"/>
        </w:rPr>
        <w:t>822-2011-TC-S1 de fecha 17 de mayo del 2011</w:t>
      </w:r>
      <w:r w:rsidRPr="009B6D8B">
        <w:rPr>
          <w:rFonts w:ascii="Tahoma" w:hAnsi="Tahoma" w:cs="Tahoma"/>
          <w:color w:val="000000" w:themeColor="text1"/>
          <w:sz w:val="22"/>
          <w:szCs w:val="22"/>
        </w:rPr>
        <w:t>, hecho que debe ser considerado como agravante al momento de graduar la presente sanción.</w:t>
      </w:r>
    </w:p>
    <w:p w:rsidR="009B6D8B" w:rsidRPr="009B6D8B" w:rsidRDefault="009B6D8B" w:rsidP="009B6D8B">
      <w:pPr>
        <w:pStyle w:val="Prrafodelista"/>
        <w:widowControl/>
        <w:suppressAutoHyphens w:val="0"/>
        <w:ind w:left="567"/>
        <w:contextualSpacing/>
        <w:jc w:val="both"/>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Por otra parte, respecto a la conducta procesal cabe señalar que la Contratista no ha cumplido con presentar sus descargos, demostrando con ello desinterés en la resultas del presente procedimiento administrativo sancionador.</w:t>
      </w:r>
    </w:p>
    <w:p w:rsidR="009B6D8B" w:rsidRPr="009B6D8B" w:rsidRDefault="009B6D8B" w:rsidP="009B6D8B">
      <w:pPr>
        <w:pStyle w:val="Prrafodelista"/>
        <w:tabs>
          <w:tab w:val="num" w:pos="567"/>
        </w:tabs>
        <w:rPr>
          <w:rFonts w:ascii="Tahoma" w:hAnsi="Tahoma" w:cs="Tahoma"/>
          <w:sz w:val="22"/>
          <w:szCs w:val="22"/>
        </w:rPr>
      </w:pPr>
    </w:p>
    <w:p w:rsidR="009B6D8B" w:rsidRPr="009B6D8B" w:rsidRDefault="009B6D8B" w:rsidP="009B6D8B">
      <w:pPr>
        <w:pStyle w:val="Prrafodelista"/>
        <w:widowControl/>
        <w:numPr>
          <w:ilvl w:val="0"/>
          <w:numId w:val="8"/>
        </w:numPr>
        <w:tabs>
          <w:tab w:val="clear" w:pos="360"/>
          <w:tab w:val="num" w:pos="567"/>
        </w:tabs>
        <w:suppressAutoHyphens w:val="0"/>
        <w:ind w:left="567" w:hanging="567"/>
        <w:contextualSpacing/>
        <w:jc w:val="both"/>
        <w:rPr>
          <w:rFonts w:ascii="Tahoma" w:hAnsi="Tahoma" w:cs="Tahoma"/>
          <w:sz w:val="22"/>
          <w:szCs w:val="22"/>
        </w:rPr>
      </w:pPr>
      <w:r w:rsidRPr="009B6D8B">
        <w:rPr>
          <w:rFonts w:ascii="Tahoma" w:hAnsi="Tahoma" w:cs="Tahoma"/>
          <w:sz w:val="22"/>
          <w:szCs w:val="22"/>
        </w:rPr>
        <w:t xml:space="preserve">Finalmente, resulta importante traer a colación el </w:t>
      </w:r>
      <w:r w:rsidRPr="009B6D8B">
        <w:rPr>
          <w:rFonts w:ascii="Tahoma" w:hAnsi="Tahoma" w:cs="Tahoma"/>
          <w:i/>
          <w:sz w:val="22"/>
          <w:szCs w:val="22"/>
        </w:rPr>
        <w:t>principio de razonabilidad</w:t>
      </w:r>
      <w:r w:rsidRPr="009B6D8B">
        <w:rPr>
          <w:rFonts w:ascii="Tahoma" w:hAnsi="Tahoma" w:cs="Tahoma"/>
          <w:sz w:val="22"/>
          <w:szCs w:val="22"/>
        </w:rPr>
        <w:t xml:space="preserve"> consagrado en el numeral 1.4 del Artículo IV del Título Preliminar de la Ley del Procedimiento Administrativo General, por medio del cual las decisiones de la autoridad administrativa que impongan sanciones o establezcan restricciones a </w:t>
      </w:r>
      <w:r w:rsidRPr="009B6D8B">
        <w:rPr>
          <w:rFonts w:ascii="Tahoma" w:hAnsi="Tahoma" w:cs="Tahoma"/>
          <w:sz w:val="22"/>
          <w:szCs w:val="22"/>
        </w:rPr>
        <w:lastRenderedPageBreak/>
        <w:t xml:space="preserve">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9B6D8B" w:rsidRPr="009B6D8B" w:rsidRDefault="009B6D8B" w:rsidP="009B6D8B">
      <w:pPr>
        <w:jc w:val="both"/>
        <w:rPr>
          <w:rFonts w:ascii="Tahoma" w:hAnsi="Tahoma" w:cs="Tahoma"/>
          <w:sz w:val="22"/>
          <w:szCs w:val="22"/>
          <w:lang w:val="es-ES_tradnl"/>
        </w:rPr>
      </w:pPr>
    </w:p>
    <w:p w:rsidR="009B6D8B" w:rsidRPr="009B6D8B" w:rsidRDefault="009B6D8B" w:rsidP="009B6D8B">
      <w:pPr>
        <w:tabs>
          <w:tab w:val="left" w:pos="3544"/>
          <w:tab w:val="left" w:pos="7230"/>
        </w:tabs>
        <w:ind w:right="-1" w:firstLine="567"/>
        <w:jc w:val="both"/>
        <w:rPr>
          <w:rFonts w:ascii="Tahoma" w:eastAsiaTheme="minorHAnsi" w:hAnsi="Tahoma" w:cs="Tahoma"/>
          <w:color w:val="000000"/>
          <w:sz w:val="22"/>
          <w:szCs w:val="22"/>
        </w:rPr>
      </w:pPr>
      <w:r w:rsidRPr="009B6D8B">
        <w:rPr>
          <w:rFonts w:ascii="Tahoma" w:hAnsi="Tahoma" w:cs="Tahoma"/>
          <w:sz w:val="22"/>
          <w:szCs w:val="22"/>
        </w:rPr>
        <w:t xml:space="preserve">Por estos fundamentos, </w:t>
      </w:r>
      <w:r w:rsidRPr="009B6D8B">
        <w:rPr>
          <w:rFonts w:ascii="Tahoma" w:hAnsi="Tahoma" w:cs="Tahoma"/>
          <w:color w:val="000000"/>
          <w:sz w:val="22"/>
          <w:szCs w:val="22"/>
        </w:rPr>
        <w:t>de conformidad con el inf</w:t>
      </w:r>
      <w:r w:rsidRPr="009B6D8B">
        <w:rPr>
          <w:rFonts w:ascii="Tahoma" w:eastAsia="Calibri" w:hAnsi="Tahoma" w:cs="Tahoma"/>
          <w:color w:val="000000"/>
          <w:sz w:val="22"/>
          <w:szCs w:val="22"/>
        </w:rPr>
        <w:t xml:space="preserve">orme de la Vocal Ponente Dra. Ada Rosa Basulto Liewald y la intervención de los Señores Vocales </w:t>
      </w:r>
      <w:r w:rsidRPr="009B6D8B">
        <w:rPr>
          <w:rFonts w:ascii="Tahoma" w:eastAsiaTheme="minorHAnsi" w:hAnsi="Tahoma" w:cs="Tahoma"/>
          <w:color w:val="000000"/>
          <w:sz w:val="22"/>
          <w:szCs w:val="22"/>
        </w:rPr>
        <w:t xml:space="preserve">Dr. Carlos Vicente Navas Rondón y </w:t>
      </w:r>
      <w:r w:rsidRPr="009B6D8B">
        <w:rPr>
          <w:rFonts w:ascii="Tahoma" w:eastAsia="Calibri" w:hAnsi="Tahoma" w:cs="Tahoma"/>
          <w:color w:val="000000"/>
          <w:sz w:val="22"/>
          <w:szCs w:val="22"/>
        </w:rPr>
        <w:t xml:space="preserve">Dra. Janette Elke Ramírez Maynetto; </w:t>
      </w:r>
      <w:r w:rsidRPr="009B6D8B">
        <w:rPr>
          <w:rFonts w:ascii="Tahoma" w:eastAsiaTheme="minorHAnsi" w:hAnsi="Tahoma" w:cs="Tahoma"/>
          <w:color w:val="000000"/>
          <w:sz w:val="22"/>
          <w:szCs w:val="22"/>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9B6D8B" w:rsidRPr="009B6D8B" w:rsidRDefault="009B6D8B" w:rsidP="009B6D8B">
      <w:pPr>
        <w:ind w:firstLine="426"/>
        <w:jc w:val="both"/>
        <w:rPr>
          <w:rFonts w:ascii="Tahoma" w:hAnsi="Tahoma" w:cs="Tahoma"/>
          <w:sz w:val="22"/>
          <w:szCs w:val="22"/>
        </w:rPr>
      </w:pPr>
    </w:p>
    <w:p w:rsidR="009B6D8B" w:rsidRPr="009B6D8B" w:rsidRDefault="009B6D8B" w:rsidP="009B6D8B">
      <w:pPr>
        <w:ind w:firstLine="567"/>
        <w:jc w:val="both"/>
        <w:rPr>
          <w:rFonts w:ascii="Tahoma" w:hAnsi="Tahoma" w:cs="Tahoma"/>
          <w:b/>
          <w:sz w:val="22"/>
          <w:szCs w:val="22"/>
        </w:rPr>
      </w:pPr>
      <w:r w:rsidRPr="009B6D8B">
        <w:rPr>
          <w:rFonts w:ascii="Tahoma" w:hAnsi="Tahoma" w:cs="Tahoma"/>
          <w:b/>
          <w:sz w:val="22"/>
          <w:szCs w:val="22"/>
        </w:rPr>
        <w:t xml:space="preserve">LA SALA RESUELVE: </w:t>
      </w:r>
    </w:p>
    <w:p w:rsidR="009B6D8B" w:rsidRPr="009B6D8B" w:rsidRDefault="009B6D8B" w:rsidP="009B6D8B">
      <w:pPr>
        <w:jc w:val="both"/>
        <w:rPr>
          <w:rFonts w:ascii="Tahoma" w:hAnsi="Tahoma" w:cs="Tahoma"/>
          <w:snapToGrid w:val="0"/>
          <w:sz w:val="22"/>
          <w:szCs w:val="22"/>
        </w:rPr>
      </w:pPr>
    </w:p>
    <w:p w:rsidR="009B6D8B" w:rsidRPr="009B6D8B" w:rsidRDefault="009B6D8B" w:rsidP="009B6D8B">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2"/>
          <w:szCs w:val="22"/>
        </w:rPr>
      </w:pPr>
      <w:r w:rsidRPr="009B6D8B">
        <w:rPr>
          <w:rFonts w:ascii="Tahoma" w:hAnsi="Tahoma" w:cs="Tahoma"/>
          <w:sz w:val="22"/>
          <w:szCs w:val="22"/>
        </w:rPr>
        <w:t>Imponer a la empresa COMPANIA IMPORTADORA VAL S.A. sanción administrativa de inhabilitación temporal</w:t>
      </w:r>
      <w:r w:rsidR="006B0624">
        <w:rPr>
          <w:rFonts w:ascii="Tahoma" w:hAnsi="Tahoma" w:cs="Tahoma"/>
          <w:sz w:val="22"/>
          <w:szCs w:val="22"/>
        </w:rPr>
        <w:t xml:space="preserve"> por el período de quince (15</w:t>
      </w:r>
      <w:r w:rsidRPr="009B6D8B">
        <w:rPr>
          <w:rFonts w:ascii="Tahoma" w:hAnsi="Tahoma" w:cs="Tahoma"/>
          <w:sz w:val="22"/>
          <w:szCs w:val="22"/>
        </w:rPr>
        <w:t>) meses en sus derechos de participar en procesos de selección y contratar con el Estado, por la infracción tipificada en el literal d) del numeral 51.1 del artículo 51 de la Ley, la cual entrará en vigencia a partir del sexto día hábil siguiente de su notificación.</w:t>
      </w:r>
    </w:p>
    <w:p w:rsidR="009B6D8B" w:rsidRPr="009B6D8B" w:rsidRDefault="009B6D8B" w:rsidP="009B6D8B">
      <w:pPr>
        <w:pStyle w:val="Prrafodelista"/>
        <w:rPr>
          <w:rFonts w:ascii="Tahoma" w:hAnsi="Tahoma" w:cs="Tahoma"/>
          <w:sz w:val="22"/>
          <w:szCs w:val="22"/>
          <w:lang w:val="es-ES"/>
        </w:rPr>
      </w:pPr>
    </w:p>
    <w:p w:rsidR="009B6D8B" w:rsidRPr="009B6D8B" w:rsidRDefault="009B6D8B" w:rsidP="009B6D8B">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2"/>
          <w:szCs w:val="22"/>
        </w:rPr>
      </w:pPr>
      <w:r w:rsidRPr="009B6D8B">
        <w:rPr>
          <w:rFonts w:ascii="Tahoma" w:hAnsi="Tahoma" w:cs="Tahoma"/>
          <w:sz w:val="22"/>
          <w:szCs w:val="22"/>
        </w:rPr>
        <w:t>Comunicar la presente Resolución a la Subdirección del Registro Nacional de Proveedores del Organismo Supervisor de las Contrataciones del Estado (OSCE), para las anotaciones de Ley.</w:t>
      </w:r>
    </w:p>
    <w:p w:rsidR="009B6D8B" w:rsidRPr="009B6D8B" w:rsidRDefault="009B6D8B" w:rsidP="009B6D8B">
      <w:pPr>
        <w:tabs>
          <w:tab w:val="left" w:pos="180"/>
          <w:tab w:val="left" w:pos="540"/>
        </w:tabs>
        <w:ind w:left="540"/>
        <w:jc w:val="both"/>
        <w:rPr>
          <w:rFonts w:ascii="Tahoma" w:hAnsi="Tahoma" w:cs="Tahoma"/>
          <w:sz w:val="22"/>
          <w:szCs w:val="22"/>
        </w:rPr>
      </w:pPr>
    </w:p>
    <w:p w:rsidR="009B6D8B" w:rsidRPr="009B6D8B" w:rsidRDefault="009B6D8B" w:rsidP="009B6D8B">
      <w:pPr>
        <w:jc w:val="both"/>
        <w:rPr>
          <w:rFonts w:ascii="Tahoma" w:hAnsi="Tahoma" w:cs="Tahoma"/>
          <w:sz w:val="22"/>
          <w:szCs w:val="22"/>
        </w:rPr>
      </w:pPr>
    </w:p>
    <w:p w:rsidR="009B6D8B" w:rsidRPr="009B6D8B" w:rsidRDefault="009B6D8B" w:rsidP="009B6D8B">
      <w:pPr>
        <w:pStyle w:val="Textoindependiente21"/>
        <w:ind w:firstLine="567"/>
        <w:rPr>
          <w:rFonts w:cs="Tahoma"/>
          <w:szCs w:val="22"/>
        </w:rPr>
      </w:pPr>
      <w:r w:rsidRPr="009B6D8B">
        <w:rPr>
          <w:rFonts w:cs="Tahoma"/>
          <w:szCs w:val="22"/>
        </w:rPr>
        <w:t>Regístrese, comuníquese y publíquese.</w:t>
      </w:r>
    </w:p>
    <w:p w:rsidR="009B6D8B" w:rsidRPr="009B6D8B" w:rsidRDefault="009B6D8B" w:rsidP="009B6D8B">
      <w:pPr>
        <w:jc w:val="center"/>
        <w:rPr>
          <w:rFonts w:ascii="Tahoma" w:hAnsi="Tahoma" w:cs="Tahoma"/>
          <w:b/>
          <w:sz w:val="22"/>
          <w:szCs w:val="22"/>
        </w:rPr>
      </w:pPr>
    </w:p>
    <w:p w:rsidR="009B6D8B" w:rsidRDefault="009B6D8B" w:rsidP="009B6D8B">
      <w:pPr>
        <w:jc w:val="center"/>
        <w:rPr>
          <w:rFonts w:ascii="Tahoma" w:hAnsi="Tahoma" w:cs="Tahoma"/>
          <w:b/>
          <w:sz w:val="22"/>
          <w:szCs w:val="22"/>
        </w:rPr>
      </w:pPr>
    </w:p>
    <w:p w:rsidR="006B2629" w:rsidRPr="009B6D8B" w:rsidRDefault="006B2629" w:rsidP="009B6D8B">
      <w:pPr>
        <w:jc w:val="center"/>
        <w:rPr>
          <w:rFonts w:ascii="Tahoma" w:hAnsi="Tahoma" w:cs="Tahoma"/>
          <w:b/>
          <w:sz w:val="22"/>
          <w:szCs w:val="22"/>
        </w:rPr>
      </w:pPr>
    </w:p>
    <w:p w:rsidR="009B6D8B" w:rsidRPr="009B6D8B" w:rsidRDefault="009B6D8B" w:rsidP="009B6D8B">
      <w:pPr>
        <w:jc w:val="center"/>
        <w:rPr>
          <w:rFonts w:ascii="Tahoma" w:hAnsi="Tahoma" w:cs="Tahoma"/>
          <w:b/>
          <w:sz w:val="22"/>
          <w:szCs w:val="22"/>
        </w:rPr>
      </w:pPr>
    </w:p>
    <w:p w:rsidR="009B6D8B" w:rsidRPr="009B6D8B" w:rsidRDefault="009B6D8B" w:rsidP="009B6D8B">
      <w:pPr>
        <w:jc w:val="center"/>
        <w:rPr>
          <w:rFonts w:ascii="Tahoma" w:hAnsi="Tahoma" w:cs="Tahoma"/>
          <w:b/>
          <w:sz w:val="22"/>
          <w:szCs w:val="22"/>
        </w:rPr>
      </w:pPr>
    </w:p>
    <w:p w:rsidR="009B6D8B" w:rsidRPr="009B6D8B" w:rsidRDefault="009B6D8B" w:rsidP="009B6D8B">
      <w:pPr>
        <w:jc w:val="center"/>
        <w:rPr>
          <w:rFonts w:ascii="Tahoma" w:hAnsi="Tahoma" w:cs="Tahoma"/>
          <w:b/>
          <w:sz w:val="22"/>
          <w:szCs w:val="22"/>
        </w:rPr>
      </w:pPr>
    </w:p>
    <w:p w:rsidR="009B6D8B" w:rsidRPr="009B6D8B" w:rsidRDefault="009B6D8B" w:rsidP="009B6D8B">
      <w:pPr>
        <w:jc w:val="center"/>
        <w:rPr>
          <w:rFonts w:ascii="Tahoma" w:hAnsi="Tahoma" w:cs="Tahoma"/>
          <w:b/>
          <w:shadow/>
          <w:sz w:val="22"/>
          <w:szCs w:val="22"/>
          <w:lang w:val="pt-BR"/>
        </w:rPr>
      </w:pPr>
      <w:r w:rsidRPr="009B6D8B">
        <w:rPr>
          <w:rFonts w:ascii="Tahoma" w:hAnsi="Tahoma" w:cs="Tahoma"/>
          <w:b/>
          <w:shadow/>
          <w:sz w:val="22"/>
          <w:szCs w:val="22"/>
          <w:lang w:val="pt-BR"/>
        </w:rPr>
        <w:t>PRESIDENTE</w:t>
      </w:r>
    </w:p>
    <w:p w:rsidR="009B6D8B" w:rsidRPr="009B6D8B" w:rsidRDefault="009B6D8B" w:rsidP="009B6D8B">
      <w:pPr>
        <w:ind w:firstLine="708"/>
        <w:rPr>
          <w:rFonts w:ascii="Tahoma" w:hAnsi="Tahoma" w:cs="Tahoma"/>
          <w:b/>
          <w:shadow/>
          <w:sz w:val="22"/>
          <w:szCs w:val="22"/>
          <w:lang w:val="pt-BR"/>
        </w:rPr>
      </w:pPr>
    </w:p>
    <w:p w:rsidR="009B6D8B" w:rsidRPr="009B6D8B" w:rsidRDefault="009B6D8B" w:rsidP="009B6D8B">
      <w:pPr>
        <w:ind w:firstLine="708"/>
        <w:rPr>
          <w:rFonts w:ascii="Tahoma" w:hAnsi="Tahoma" w:cs="Tahoma"/>
          <w:b/>
          <w:shadow/>
          <w:sz w:val="22"/>
          <w:szCs w:val="22"/>
          <w:lang w:val="pt-BR"/>
        </w:rPr>
      </w:pPr>
      <w:r w:rsidRPr="009B6D8B">
        <w:rPr>
          <w:rFonts w:ascii="Tahoma" w:hAnsi="Tahoma" w:cs="Tahoma"/>
          <w:b/>
          <w:shadow/>
          <w:sz w:val="22"/>
          <w:szCs w:val="22"/>
          <w:lang w:val="pt-BR"/>
        </w:rPr>
        <w:t xml:space="preserve">VOCAL           </w:t>
      </w:r>
      <w:r w:rsidRPr="009B6D8B">
        <w:rPr>
          <w:rFonts w:ascii="Tahoma" w:hAnsi="Tahoma" w:cs="Tahoma"/>
          <w:b/>
          <w:shadow/>
          <w:sz w:val="22"/>
          <w:szCs w:val="22"/>
          <w:lang w:val="pt-BR"/>
        </w:rPr>
        <w:tab/>
      </w:r>
      <w:r w:rsidRPr="009B6D8B">
        <w:rPr>
          <w:rFonts w:ascii="Tahoma" w:hAnsi="Tahoma" w:cs="Tahoma"/>
          <w:b/>
          <w:shadow/>
          <w:sz w:val="22"/>
          <w:szCs w:val="22"/>
          <w:lang w:val="pt-BR"/>
        </w:rPr>
        <w:tab/>
        <w:t xml:space="preserve">                                                     VOCAL</w:t>
      </w:r>
    </w:p>
    <w:p w:rsidR="009B6D8B" w:rsidRPr="009B6D8B" w:rsidRDefault="009B6D8B" w:rsidP="009B6D8B">
      <w:pPr>
        <w:rPr>
          <w:rFonts w:ascii="Tahoma" w:hAnsi="Tahoma" w:cs="Tahoma"/>
          <w:sz w:val="22"/>
          <w:szCs w:val="22"/>
          <w:lang w:val="pt-BR"/>
        </w:rPr>
      </w:pPr>
    </w:p>
    <w:p w:rsidR="009B6D8B" w:rsidRPr="009B6D8B" w:rsidRDefault="009B6D8B" w:rsidP="009B6D8B">
      <w:pPr>
        <w:jc w:val="both"/>
        <w:rPr>
          <w:rFonts w:ascii="Tahoma" w:hAnsi="Tahoma" w:cs="Tahoma"/>
          <w:sz w:val="22"/>
          <w:szCs w:val="22"/>
          <w:lang w:val="pt-BR"/>
        </w:rPr>
      </w:pPr>
      <w:r w:rsidRPr="009B6D8B">
        <w:rPr>
          <w:rFonts w:ascii="Tahoma" w:hAnsi="Tahoma" w:cs="Tahoma"/>
          <w:sz w:val="22"/>
          <w:szCs w:val="22"/>
          <w:lang w:val="pt-BR"/>
        </w:rPr>
        <w:t>ss.</w:t>
      </w:r>
    </w:p>
    <w:p w:rsidR="009B6D8B" w:rsidRPr="009B6D8B" w:rsidRDefault="009B6D8B" w:rsidP="009B6D8B">
      <w:pPr>
        <w:jc w:val="both"/>
        <w:rPr>
          <w:rFonts w:ascii="Tahoma" w:hAnsi="Tahoma" w:cs="Tahoma"/>
          <w:sz w:val="22"/>
          <w:szCs w:val="22"/>
          <w:lang w:val="pt-BR"/>
        </w:rPr>
      </w:pPr>
      <w:r w:rsidRPr="009B6D8B">
        <w:rPr>
          <w:rFonts w:ascii="Tahoma" w:hAnsi="Tahoma" w:cs="Tahoma"/>
          <w:sz w:val="22"/>
          <w:szCs w:val="22"/>
          <w:lang w:val="pt-BR"/>
        </w:rPr>
        <w:t>Navas Rondon</w:t>
      </w:r>
    </w:p>
    <w:p w:rsidR="009B6D8B" w:rsidRPr="009B6D8B" w:rsidRDefault="009B6D8B" w:rsidP="009B6D8B">
      <w:pPr>
        <w:pStyle w:val="Textoindependiente21"/>
        <w:tabs>
          <w:tab w:val="left" w:pos="5250"/>
        </w:tabs>
        <w:rPr>
          <w:rFonts w:cs="Tahoma"/>
          <w:szCs w:val="22"/>
          <w:lang w:val="pt-BR"/>
        </w:rPr>
      </w:pPr>
      <w:r w:rsidRPr="009B6D8B">
        <w:rPr>
          <w:rFonts w:cs="Tahoma"/>
          <w:szCs w:val="22"/>
          <w:lang w:val="en-US"/>
        </w:rPr>
        <w:t>Ramírez Maynetto.</w:t>
      </w:r>
    </w:p>
    <w:p w:rsidR="008B738B" w:rsidRDefault="009B6D8B" w:rsidP="006B2629">
      <w:pPr>
        <w:pStyle w:val="Textoindependiente21"/>
        <w:tabs>
          <w:tab w:val="left" w:pos="5250"/>
        </w:tabs>
      </w:pPr>
      <w:r w:rsidRPr="009B6D8B">
        <w:rPr>
          <w:rFonts w:cs="Tahoma"/>
          <w:szCs w:val="22"/>
          <w:lang w:val="pt-BR"/>
        </w:rPr>
        <w:t>Basulto Liewald.</w:t>
      </w:r>
    </w:p>
    <w:sectPr w:rsidR="008B738B" w:rsidSect="009B6D8B">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416" w:rsidRDefault="00086416" w:rsidP="009B6D8B">
      <w:r>
        <w:separator/>
      </w:r>
    </w:p>
  </w:endnote>
  <w:endnote w:type="continuationSeparator" w:id="1">
    <w:p w:rsidR="00086416" w:rsidRDefault="00086416" w:rsidP="009B6D8B">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5096"/>
      <w:docPartObj>
        <w:docPartGallery w:val="Page Numbers (Bottom of Page)"/>
        <w:docPartUnique/>
      </w:docPartObj>
    </w:sdtPr>
    <w:sdtContent>
      <w:sdt>
        <w:sdtPr>
          <w:id w:val="216747541"/>
          <w:docPartObj>
            <w:docPartGallery w:val="Page Numbers (Top of Page)"/>
            <w:docPartUnique/>
          </w:docPartObj>
        </w:sdtPr>
        <w:sdtContent>
          <w:p w:rsidR="009B6D8B" w:rsidRDefault="009B6D8B">
            <w:pPr>
              <w:pStyle w:val="Piedepgina"/>
              <w:jc w:val="center"/>
            </w:pPr>
            <w:r>
              <w:t xml:space="preserve">Página </w:t>
            </w:r>
            <w:r w:rsidR="00B366E2">
              <w:rPr>
                <w:b/>
              </w:rPr>
              <w:fldChar w:fldCharType="begin"/>
            </w:r>
            <w:r>
              <w:rPr>
                <w:b/>
              </w:rPr>
              <w:instrText>PAGE</w:instrText>
            </w:r>
            <w:r w:rsidR="00B366E2">
              <w:rPr>
                <w:b/>
              </w:rPr>
              <w:fldChar w:fldCharType="separate"/>
            </w:r>
            <w:r w:rsidR="00D3020F">
              <w:rPr>
                <w:b/>
                <w:noProof/>
              </w:rPr>
              <w:t>1</w:t>
            </w:r>
            <w:r w:rsidR="00B366E2">
              <w:rPr>
                <w:b/>
              </w:rPr>
              <w:fldChar w:fldCharType="end"/>
            </w:r>
            <w:r>
              <w:t xml:space="preserve"> de </w:t>
            </w:r>
            <w:r w:rsidR="00B366E2">
              <w:rPr>
                <w:b/>
              </w:rPr>
              <w:fldChar w:fldCharType="begin"/>
            </w:r>
            <w:r>
              <w:rPr>
                <w:b/>
              </w:rPr>
              <w:instrText>NUMPAGES</w:instrText>
            </w:r>
            <w:r w:rsidR="00B366E2">
              <w:rPr>
                <w:b/>
              </w:rPr>
              <w:fldChar w:fldCharType="separate"/>
            </w:r>
            <w:r w:rsidR="00D3020F">
              <w:rPr>
                <w:b/>
                <w:noProof/>
              </w:rPr>
              <w:t>7</w:t>
            </w:r>
            <w:r w:rsidR="00B366E2">
              <w:rPr>
                <w:b/>
              </w:rPr>
              <w:fldChar w:fldCharType="end"/>
            </w:r>
          </w:p>
        </w:sdtContent>
      </w:sdt>
    </w:sdtContent>
  </w:sdt>
  <w:p w:rsidR="009B6D8B" w:rsidRDefault="009B6D8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416" w:rsidRDefault="00086416" w:rsidP="009B6D8B">
      <w:r>
        <w:separator/>
      </w:r>
    </w:p>
  </w:footnote>
  <w:footnote w:type="continuationSeparator" w:id="1">
    <w:p w:rsidR="00086416" w:rsidRDefault="00086416" w:rsidP="009B6D8B">
      <w:r>
        <w:continuationSeparator/>
      </w:r>
    </w:p>
  </w:footnote>
  <w:footnote w:id="2">
    <w:p w:rsidR="009B6D8B" w:rsidRPr="00025D3B" w:rsidRDefault="009B6D8B" w:rsidP="009B6D8B">
      <w:pPr>
        <w:pStyle w:val="Textonotapie"/>
        <w:jc w:val="both"/>
        <w:rPr>
          <w:sz w:val="18"/>
          <w:szCs w:val="18"/>
        </w:rPr>
      </w:pPr>
      <w:r w:rsidRPr="00025D3B">
        <w:rPr>
          <w:rStyle w:val="Refdenotaalpie"/>
          <w:sz w:val="18"/>
          <w:szCs w:val="18"/>
        </w:rPr>
        <w:footnoteRef/>
      </w:r>
      <w:r w:rsidRPr="00025D3B">
        <w:rPr>
          <w:sz w:val="18"/>
          <w:szCs w:val="18"/>
        </w:rPr>
        <w:t xml:space="preserve"> </w:t>
      </w:r>
      <w:r w:rsidRPr="00BA726F">
        <w:rPr>
          <w:i/>
          <w:sz w:val="18"/>
          <w:szCs w:val="18"/>
        </w:rPr>
        <w:t xml:space="preserve">Texto extraído de la Opinión </w:t>
      </w:r>
      <w:r>
        <w:rPr>
          <w:i/>
          <w:sz w:val="18"/>
          <w:szCs w:val="18"/>
        </w:rPr>
        <w:t>№</w:t>
      </w:r>
      <w:r w:rsidRPr="00BA726F">
        <w:rPr>
          <w:i/>
          <w:sz w:val="18"/>
          <w:szCs w:val="18"/>
        </w:rPr>
        <w:t xml:space="preserve"> 005-2009/DOP del 29 de enero de 2009.</w:t>
      </w:r>
    </w:p>
  </w:footnote>
  <w:footnote w:id="3">
    <w:p w:rsidR="009B6D8B" w:rsidRPr="00F45A12" w:rsidRDefault="009B6D8B" w:rsidP="009B6D8B">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9B6D8B" w:rsidRPr="00F45A12" w:rsidRDefault="009B6D8B" w:rsidP="009B6D8B">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9B6D8B" w:rsidRPr="00F45A12" w:rsidRDefault="009B6D8B" w:rsidP="009B6D8B">
      <w:pPr>
        <w:pStyle w:val="Textonotapie"/>
        <w:rPr>
          <w:sz w:val="16"/>
          <w:szCs w:val="16"/>
          <w:lang w:val="es-ES_tradnl"/>
        </w:rPr>
      </w:pPr>
      <w:r w:rsidRPr="00F45A12">
        <w:rPr>
          <w:sz w:val="16"/>
          <w:szCs w:val="16"/>
          <w:lang w:val="es-ES_tradnl"/>
        </w:rPr>
        <w:t>1) Naturaleza de la infracción.</w:t>
      </w:r>
    </w:p>
    <w:p w:rsidR="009B6D8B" w:rsidRPr="00F45A12" w:rsidRDefault="009B6D8B" w:rsidP="009B6D8B">
      <w:pPr>
        <w:pStyle w:val="Textonotapie"/>
        <w:rPr>
          <w:sz w:val="16"/>
          <w:szCs w:val="16"/>
          <w:lang w:val="es-ES_tradnl"/>
        </w:rPr>
      </w:pPr>
      <w:r w:rsidRPr="00F45A12">
        <w:rPr>
          <w:sz w:val="16"/>
          <w:szCs w:val="16"/>
          <w:lang w:val="es-ES_tradnl"/>
        </w:rPr>
        <w:t>2) Intencionalidad del infractor.</w:t>
      </w:r>
    </w:p>
    <w:p w:rsidR="009B6D8B" w:rsidRPr="00F45A12" w:rsidRDefault="009B6D8B" w:rsidP="009B6D8B">
      <w:pPr>
        <w:pStyle w:val="Textonotapie"/>
        <w:rPr>
          <w:sz w:val="16"/>
          <w:szCs w:val="16"/>
          <w:lang w:val="es-ES_tradnl"/>
        </w:rPr>
      </w:pPr>
      <w:r w:rsidRPr="00F45A12">
        <w:rPr>
          <w:sz w:val="16"/>
          <w:szCs w:val="16"/>
          <w:lang w:val="es-ES_tradnl"/>
        </w:rPr>
        <w:t>3) Daño causado.</w:t>
      </w:r>
    </w:p>
    <w:p w:rsidR="009B6D8B" w:rsidRPr="00F45A12" w:rsidRDefault="009B6D8B" w:rsidP="009B6D8B">
      <w:pPr>
        <w:pStyle w:val="Textonotapie"/>
        <w:rPr>
          <w:sz w:val="16"/>
          <w:szCs w:val="16"/>
          <w:lang w:val="es-ES_tradnl"/>
        </w:rPr>
      </w:pPr>
      <w:r w:rsidRPr="00F45A12">
        <w:rPr>
          <w:sz w:val="16"/>
          <w:szCs w:val="16"/>
          <w:lang w:val="es-ES_tradnl"/>
        </w:rPr>
        <w:t>4) Reiterancia</w:t>
      </w:r>
    </w:p>
    <w:p w:rsidR="009B6D8B" w:rsidRPr="00F45A12" w:rsidRDefault="009B6D8B" w:rsidP="009B6D8B">
      <w:pPr>
        <w:pStyle w:val="Textonotapie"/>
        <w:rPr>
          <w:sz w:val="16"/>
          <w:szCs w:val="16"/>
          <w:lang w:val="es-ES_tradnl"/>
        </w:rPr>
      </w:pPr>
      <w:r w:rsidRPr="00F45A12">
        <w:rPr>
          <w:sz w:val="16"/>
          <w:szCs w:val="16"/>
          <w:lang w:val="es-ES_tradnl"/>
        </w:rPr>
        <w:t>5) El reconocimiento de la infracción cometida antes de que sea detectada.</w:t>
      </w:r>
    </w:p>
    <w:p w:rsidR="009B6D8B" w:rsidRPr="00F45A12" w:rsidRDefault="009B6D8B" w:rsidP="009B6D8B">
      <w:pPr>
        <w:pStyle w:val="Textonotapie"/>
        <w:rPr>
          <w:sz w:val="16"/>
          <w:szCs w:val="16"/>
          <w:lang w:val="es-ES_tradnl"/>
        </w:rPr>
      </w:pPr>
      <w:r w:rsidRPr="00F45A12">
        <w:rPr>
          <w:sz w:val="16"/>
          <w:szCs w:val="16"/>
          <w:lang w:val="es-ES_tradnl"/>
        </w:rPr>
        <w:t>6) Circunstancias de tiempo, lugar y modo.</w:t>
      </w:r>
    </w:p>
    <w:p w:rsidR="009B6D8B" w:rsidRPr="00F45A12" w:rsidRDefault="009B6D8B" w:rsidP="009B6D8B">
      <w:pPr>
        <w:pStyle w:val="Textonotapie"/>
        <w:rPr>
          <w:sz w:val="16"/>
          <w:szCs w:val="16"/>
          <w:lang w:val="es-ES_tradnl"/>
        </w:rPr>
      </w:pPr>
      <w:r w:rsidRPr="00F45A12">
        <w:rPr>
          <w:sz w:val="16"/>
          <w:szCs w:val="16"/>
          <w:lang w:val="es-ES_tradnl"/>
        </w:rPr>
        <w:t>7) Condiciones del infractor.</w:t>
      </w:r>
    </w:p>
    <w:p w:rsidR="009B6D8B" w:rsidRPr="00F45A12" w:rsidRDefault="009B6D8B" w:rsidP="009B6D8B">
      <w:pPr>
        <w:pStyle w:val="Textonotapie"/>
        <w:rPr>
          <w:sz w:val="16"/>
          <w:szCs w:val="16"/>
          <w:lang w:val="es-ES_tradnl"/>
        </w:rPr>
      </w:pPr>
      <w:r w:rsidRPr="00F45A12">
        <w:rPr>
          <w:sz w:val="16"/>
          <w:szCs w:val="16"/>
          <w:lang w:val="es-ES_tradnl"/>
        </w:rPr>
        <w:t>8) Conducta procesa del infractor.</w:t>
      </w:r>
    </w:p>
    <w:p w:rsidR="009B6D8B" w:rsidRPr="002B1AB9" w:rsidRDefault="009B6D8B" w:rsidP="009B6D8B">
      <w:pPr>
        <w:pStyle w:val="Textonotapie"/>
        <w:rPr>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20F" w:rsidRDefault="00D3020F" w:rsidP="00D3020F">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3020F" w:rsidRDefault="00D3020F" w:rsidP="00D3020F">
    <w:pPr>
      <w:pStyle w:val="Encabezado"/>
      <w:rPr>
        <w:noProof/>
      </w:rPr>
    </w:pPr>
  </w:p>
  <w:p w:rsidR="00D3020F" w:rsidRDefault="00D3020F" w:rsidP="00D3020F">
    <w:pPr>
      <w:pStyle w:val="Encabezado"/>
      <w:jc w:val="center"/>
      <w:rPr>
        <w:rFonts w:ascii="Monotype Corsiva" w:hAnsi="Monotype Corsiva"/>
        <w:b/>
        <w:sz w:val="44"/>
        <w:szCs w:val="44"/>
      </w:rPr>
    </w:pPr>
  </w:p>
  <w:p w:rsidR="00D3020F" w:rsidRDefault="00D3020F" w:rsidP="00D3020F">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1257-2011-TC-S1</w:t>
    </w:r>
  </w:p>
  <w:p w:rsidR="00D3020F" w:rsidRDefault="00D3020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12858"/>
    <w:multiLevelType w:val="hybridMultilevel"/>
    <w:tmpl w:val="B148A70A"/>
    <w:lvl w:ilvl="0" w:tplc="BEB82422">
      <w:start w:val="1"/>
      <w:numFmt w:val="decimal"/>
      <w:lvlText w:val="%1."/>
      <w:lvlJc w:val="left"/>
      <w:pPr>
        <w:tabs>
          <w:tab w:val="num" w:pos="1068"/>
        </w:tabs>
        <w:ind w:left="1068" w:hanging="360"/>
      </w:pPr>
      <w:rPr>
        <w:rFonts w:ascii="Tahoma" w:hAnsi="Tahoma" w:cs="Times New Roman" w:hint="default"/>
        <w:b w:val="0"/>
        <w:i w:val="0"/>
        <w:shadow/>
        <w:sz w:val="22"/>
        <w:szCs w:val="2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FD51B29"/>
    <w:multiLevelType w:val="hybridMultilevel"/>
    <w:tmpl w:val="44D04286"/>
    <w:lvl w:ilvl="0" w:tplc="0C0A0019">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D2559D1"/>
    <w:multiLevelType w:val="hybridMultilevel"/>
    <w:tmpl w:val="704E0480"/>
    <w:lvl w:ilvl="0" w:tplc="18F0FFA4">
      <w:start w:val="1"/>
      <w:numFmt w:val="decimal"/>
      <w:lvlText w:val="%1."/>
      <w:lvlJc w:val="left"/>
      <w:pPr>
        <w:tabs>
          <w:tab w:val="num" w:pos="720"/>
        </w:tabs>
        <w:ind w:left="720" w:hanging="360"/>
      </w:pPr>
      <w:rPr>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4">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1862456"/>
    <w:multiLevelType w:val="hybridMultilevel"/>
    <w:tmpl w:val="F84ADE86"/>
    <w:lvl w:ilvl="0" w:tplc="5094AF42">
      <w:start w:val="1"/>
      <w:numFmt w:val="decimal"/>
      <w:lvlText w:val="%1."/>
      <w:lvlJc w:val="left"/>
      <w:pPr>
        <w:tabs>
          <w:tab w:val="num" w:pos="360"/>
        </w:tabs>
        <w:ind w:left="360" w:hanging="360"/>
      </w:pPr>
      <w:rPr>
        <w:b w:val="0"/>
        <w:sz w:val="22"/>
        <w:szCs w:val="22"/>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6BB436EA"/>
    <w:multiLevelType w:val="hybridMultilevel"/>
    <w:tmpl w:val="F8EABD5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72352AB3"/>
    <w:multiLevelType w:val="hybridMultilevel"/>
    <w:tmpl w:val="F23A48F8"/>
    <w:lvl w:ilvl="0" w:tplc="DC3EBDF6">
      <w:start w:val="1"/>
      <w:numFmt w:val="decimal"/>
      <w:lvlText w:val="%1."/>
      <w:lvlJc w:val="left"/>
      <w:pPr>
        <w:tabs>
          <w:tab w:val="num" w:pos="360"/>
        </w:tabs>
        <w:ind w:left="360" w:hanging="360"/>
      </w:pPr>
      <w:rPr>
        <w:rFonts w:ascii="Tahoma" w:hAnsi="Tahoma" w:cs="Tahoma" w:hint="default"/>
        <w:b/>
        <w:sz w:val="22"/>
        <w:szCs w:val="22"/>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8">
    <w:nsid w:val="78F805BE"/>
    <w:multiLevelType w:val="hybridMultilevel"/>
    <w:tmpl w:val="F6F81B0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8"/>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B6D8B"/>
    <w:rsid w:val="00086416"/>
    <w:rsid w:val="000D7831"/>
    <w:rsid w:val="0019300A"/>
    <w:rsid w:val="005B09F0"/>
    <w:rsid w:val="005B261A"/>
    <w:rsid w:val="005F0E2E"/>
    <w:rsid w:val="006B0624"/>
    <w:rsid w:val="006B2629"/>
    <w:rsid w:val="007D307C"/>
    <w:rsid w:val="009042C5"/>
    <w:rsid w:val="00965AC3"/>
    <w:rsid w:val="009B6D8B"/>
    <w:rsid w:val="00AB0475"/>
    <w:rsid w:val="00B366E2"/>
    <w:rsid w:val="00BE2A84"/>
    <w:rsid w:val="00D3020F"/>
    <w:rsid w:val="00E742E7"/>
    <w:rsid w:val="00FC79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D8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B6D8B"/>
    <w:pPr>
      <w:spacing w:after="120"/>
    </w:pPr>
    <w:rPr>
      <w:sz w:val="16"/>
      <w:szCs w:val="16"/>
      <w:lang w:val="es-PE"/>
    </w:rPr>
  </w:style>
  <w:style w:type="character" w:customStyle="1" w:styleId="Textoindependiente3Car">
    <w:name w:val="Texto independiente 3 Car"/>
    <w:basedOn w:val="Fuentedeprrafopredeter"/>
    <w:link w:val="Textoindependiente3"/>
    <w:rsid w:val="009B6D8B"/>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9B6D8B"/>
    <w:pPr>
      <w:jc w:val="both"/>
    </w:pPr>
    <w:rPr>
      <w:rFonts w:ascii="Tahoma" w:hAnsi="Tahoma"/>
      <w:sz w:val="22"/>
      <w:szCs w:val="20"/>
    </w:rPr>
  </w:style>
  <w:style w:type="paragraph" w:styleId="Prrafodelista">
    <w:name w:val="List Paragraph"/>
    <w:basedOn w:val="Normal"/>
    <w:uiPriority w:val="34"/>
    <w:qFormat/>
    <w:rsid w:val="009B6D8B"/>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9B6D8B"/>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9B6D8B"/>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9B6D8B"/>
    <w:rPr>
      <w:rFonts w:cs="Times New Roman"/>
      <w:vertAlign w:val="superscript"/>
    </w:rPr>
  </w:style>
  <w:style w:type="paragraph" w:styleId="NormalWeb">
    <w:name w:val="Normal (Web)"/>
    <w:basedOn w:val="Normal"/>
    <w:uiPriority w:val="99"/>
    <w:rsid w:val="009B6D8B"/>
    <w:pPr>
      <w:spacing w:before="100" w:beforeAutospacing="1" w:after="100" w:afterAutospacing="1"/>
    </w:pPr>
  </w:style>
  <w:style w:type="paragraph" w:styleId="Encabezado">
    <w:name w:val="header"/>
    <w:aliases w:val="maria,h"/>
    <w:basedOn w:val="Normal"/>
    <w:link w:val="EncabezadoCar"/>
    <w:uiPriority w:val="99"/>
    <w:semiHidden/>
    <w:unhideWhenUsed/>
    <w:rsid w:val="009B6D8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B6D8B"/>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B6D8B"/>
    <w:pPr>
      <w:tabs>
        <w:tab w:val="center" w:pos="4252"/>
        <w:tab w:val="right" w:pos="8504"/>
      </w:tabs>
    </w:pPr>
  </w:style>
  <w:style w:type="character" w:customStyle="1" w:styleId="PiedepginaCar">
    <w:name w:val="Pie de página Car"/>
    <w:basedOn w:val="Fuentedeprrafopredeter"/>
    <w:link w:val="Piedepgina"/>
    <w:uiPriority w:val="99"/>
    <w:rsid w:val="009B6D8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7906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2626</Words>
  <Characters>14445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13</cp:revision>
  <cp:lastPrinted>2011-07-20T15:42:00Z</cp:lastPrinted>
  <dcterms:created xsi:type="dcterms:W3CDTF">2011-07-20T15:21:00Z</dcterms:created>
  <dcterms:modified xsi:type="dcterms:W3CDTF">2011-08-24T14:13:00Z</dcterms:modified>
</cp:coreProperties>
</file>